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EA" w:rsidRPr="006F37EA" w:rsidRDefault="007D4427" w:rsidP="006F37E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Оценочный</w:t>
      </w:r>
      <w:r w:rsidR="006F37EA" w:rsidRPr="006F37EA">
        <w:rPr>
          <w:rFonts w:ascii="Times New Roman" w:hAnsi="Times New Roman" w:cs="Times New Roman"/>
          <w:b/>
          <w:sz w:val="24"/>
          <w:szCs w:val="24"/>
        </w:rPr>
        <w:t xml:space="preserve"> лист </w:t>
      </w:r>
      <w:r>
        <w:rPr>
          <w:rFonts w:ascii="Times New Roman" w:hAnsi="Times New Roman" w:cs="Times New Roman"/>
          <w:b/>
          <w:sz w:val="24"/>
          <w:szCs w:val="24"/>
        </w:rPr>
        <w:t xml:space="preserve">для самостоятельной оценки контролируемыми лицами соблюдения обязательных требований к </w:t>
      </w:r>
      <w:r w:rsidR="006F37EA" w:rsidRPr="006F37EA">
        <w:rPr>
          <w:rFonts w:ascii="Times New Roman" w:hAnsi="Times New Roman" w:cs="Times New Roman"/>
          <w:b/>
          <w:sz w:val="24"/>
          <w:szCs w:val="24"/>
        </w:rPr>
        <w:t>организаци</w:t>
      </w:r>
      <w:r>
        <w:rPr>
          <w:rFonts w:ascii="Times New Roman" w:hAnsi="Times New Roman" w:cs="Times New Roman"/>
          <w:b/>
          <w:sz w:val="24"/>
          <w:szCs w:val="24"/>
        </w:rPr>
        <w:t>и и осуществлению</w:t>
      </w:r>
      <w:r w:rsidR="006F37EA" w:rsidRPr="006F37EA">
        <w:rPr>
          <w:rFonts w:ascii="Times New Roman" w:hAnsi="Times New Roman" w:cs="Times New Roman"/>
          <w:b/>
          <w:sz w:val="24"/>
          <w:szCs w:val="24"/>
        </w:rPr>
        <w:t xml:space="preserve"> образовательн</w:t>
      </w:r>
      <w:r>
        <w:rPr>
          <w:rFonts w:ascii="Times New Roman" w:hAnsi="Times New Roman" w:cs="Times New Roman"/>
          <w:b/>
          <w:sz w:val="24"/>
          <w:szCs w:val="24"/>
        </w:rPr>
        <w:t>ой</w:t>
      </w:r>
      <w:r w:rsidR="006F37EA" w:rsidRPr="006F37EA">
        <w:rPr>
          <w:rFonts w:ascii="Times New Roman" w:hAnsi="Times New Roman" w:cs="Times New Roman"/>
          <w:b/>
          <w:sz w:val="24"/>
          <w:szCs w:val="24"/>
        </w:rPr>
        <w:t xml:space="preserve"> деятельност</w:t>
      </w:r>
      <w:r>
        <w:rPr>
          <w:rFonts w:ascii="Times New Roman" w:hAnsi="Times New Roman" w:cs="Times New Roman"/>
          <w:b/>
          <w:sz w:val="24"/>
          <w:szCs w:val="24"/>
        </w:rPr>
        <w:t xml:space="preserve">и </w:t>
      </w:r>
      <w:r w:rsidR="006F37EA" w:rsidRPr="006F37EA">
        <w:rPr>
          <w:rFonts w:ascii="Times New Roman" w:hAnsi="Times New Roman" w:cs="Times New Roman"/>
          <w:b/>
          <w:sz w:val="24"/>
          <w:szCs w:val="24"/>
        </w:rPr>
        <w:t>по дополнительным общеобразовательным программам</w:t>
      </w:r>
    </w:p>
    <w:p w:rsidR="006F37EA" w:rsidRPr="006F37EA" w:rsidRDefault="006F37EA" w:rsidP="006F37EA">
      <w:pPr>
        <w:spacing w:after="0" w:line="240" w:lineRule="auto"/>
        <w:rPr>
          <w:rFonts w:ascii="Times New Roman" w:hAnsi="Times New Roman" w:cs="Times New Roman"/>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04"/>
        <w:gridCol w:w="3572"/>
        <w:gridCol w:w="1814"/>
        <w:gridCol w:w="1418"/>
      </w:tblGrid>
      <w:tr w:rsidR="006F37EA" w:rsidRPr="006F37EA" w:rsidTr="006F37EA">
        <w:trPr>
          <w:trHeight w:val="1825"/>
        </w:trPr>
        <w:tc>
          <w:tcPr>
            <w:tcW w:w="566" w:type="dxa"/>
          </w:tcPr>
          <w:p w:rsidR="006F37EA" w:rsidRPr="006F37EA" w:rsidRDefault="00DC26C5" w:rsidP="006F37E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F37EA" w:rsidRPr="006F37EA">
              <w:rPr>
                <w:rFonts w:ascii="Times New Roman" w:hAnsi="Times New Roman" w:cs="Times New Roman"/>
                <w:sz w:val="24"/>
                <w:szCs w:val="24"/>
              </w:rPr>
              <w:t xml:space="preserve"> п/п</w:t>
            </w:r>
          </w:p>
        </w:tc>
        <w:tc>
          <w:tcPr>
            <w:tcW w:w="3404"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Список контрольных вопросов</w:t>
            </w:r>
          </w:p>
        </w:tc>
        <w:tc>
          <w:tcPr>
            <w:tcW w:w="3572"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Реквизиты нормативных правовых актов с указанием их структурных единиц, которыми установлены обязательные требования</w:t>
            </w:r>
          </w:p>
        </w:tc>
        <w:tc>
          <w:tcPr>
            <w:tcW w:w="1814"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Да/нет/ неприменимо</w:t>
            </w:r>
          </w:p>
        </w:tc>
        <w:tc>
          <w:tcPr>
            <w:tcW w:w="1418"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Примечание</w:t>
            </w:r>
          </w:p>
        </w:tc>
      </w:tr>
      <w:tr w:rsidR="006F37EA" w:rsidRPr="006F37EA" w:rsidTr="006F37EA">
        <w:tc>
          <w:tcPr>
            <w:tcW w:w="566" w:type="dxa"/>
            <w:vAlign w:val="center"/>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Разработаны ли и утверждены организацией, осуществляющей образовательную деятельность, дополнительные общеразвивающие программы?</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4">
              <w:r w:rsidR="006F37EA" w:rsidRPr="006F37EA">
                <w:rPr>
                  <w:rFonts w:ascii="Times New Roman" w:hAnsi="Times New Roman" w:cs="Times New Roman"/>
                  <w:color w:val="0000FF"/>
                  <w:sz w:val="24"/>
                  <w:szCs w:val="24"/>
                </w:rPr>
                <w:t>Пункт 6</w:t>
              </w:r>
            </w:hyperlink>
            <w:r w:rsidR="006F37EA" w:rsidRPr="006F37EA">
              <w:rPr>
                <w:rFonts w:ascii="Times New Roman" w:hAnsi="Times New Roman" w:cs="Times New Roman"/>
                <w:sz w:val="24"/>
                <w:szCs w:val="24"/>
              </w:rPr>
              <w:t xml:space="preserve"> Порядка организации и осуществления образовательной деятельности организации по дополнительным общеобразовательным программам </w:t>
            </w:r>
            <w:hyperlink w:anchor="P2237">
              <w:r w:rsidR="006F37EA" w:rsidRPr="006F37EA">
                <w:rPr>
                  <w:rFonts w:ascii="Times New Roman" w:hAnsi="Times New Roman" w:cs="Times New Roman"/>
                  <w:color w:val="0000FF"/>
                  <w:sz w:val="24"/>
                  <w:szCs w:val="24"/>
                </w:rPr>
                <w:t>&lt;1&gt;</w:t>
              </w:r>
            </w:hyperlink>
            <w:r w:rsidR="006F37EA" w:rsidRPr="006F37EA">
              <w:rPr>
                <w:rFonts w:ascii="Times New Roman" w:hAnsi="Times New Roman" w:cs="Times New Roman"/>
                <w:sz w:val="24"/>
                <w:szCs w:val="24"/>
              </w:rPr>
              <w:t xml:space="preserve"> (далее - Порядок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Align w:val="center"/>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2.</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Определяются ли образовательной программой сроки обучения?</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5">
              <w:r w:rsidR="006F37EA" w:rsidRPr="006F37EA">
                <w:rPr>
                  <w:rFonts w:ascii="Times New Roman" w:hAnsi="Times New Roman" w:cs="Times New Roman"/>
                  <w:color w:val="0000FF"/>
                  <w:sz w:val="24"/>
                  <w:szCs w:val="24"/>
                </w:rPr>
                <w:t>Пункт 6</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Align w:val="center"/>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3.</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Разработана ли и утверждена образовательная программа в области искусств организацией, осуществляющей образовательную деятельность, в соответствии с федеральными государственными требованиями?</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6">
              <w:r w:rsidR="006F37EA" w:rsidRPr="006F37EA">
                <w:rPr>
                  <w:rFonts w:ascii="Times New Roman" w:hAnsi="Times New Roman" w:cs="Times New Roman"/>
                  <w:color w:val="0000FF"/>
                  <w:sz w:val="24"/>
                  <w:szCs w:val="24"/>
                </w:rPr>
                <w:t>Пункт 6</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Align w:val="center"/>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4.</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Разработана ли и утверждена образовательная программа спортивной подготовки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7">
              <w:r w:rsidR="006F37EA" w:rsidRPr="006F37EA">
                <w:rPr>
                  <w:rFonts w:ascii="Times New Roman" w:hAnsi="Times New Roman" w:cs="Times New Roman"/>
                  <w:color w:val="0000FF"/>
                  <w:sz w:val="24"/>
                  <w:szCs w:val="24"/>
                </w:rPr>
                <w:t>Пункт 6</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5.</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Созда</w:t>
            </w:r>
            <w:r w:rsidR="00DC26C5">
              <w:rPr>
                <w:rFonts w:ascii="Times New Roman" w:hAnsi="Times New Roman" w:cs="Times New Roman"/>
                <w:sz w:val="24"/>
                <w:szCs w:val="24"/>
              </w:rPr>
              <w:t>ны</w:t>
            </w:r>
            <w:r w:rsidRPr="006F37EA">
              <w:rPr>
                <w:rFonts w:ascii="Times New Roman" w:hAnsi="Times New Roman" w:cs="Times New Roman"/>
                <w:sz w:val="24"/>
                <w:szCs w:val="24"/>
              </w:rPr>
              <w:t xml:space="preserve"> ли </w:t>
            </w:r>
            <w:bookmarkStart w:id="0" w:name="_GoBack"/>
            <w:bookmarkEnd w:id="0"/>
            <w:r w:rsidRPr="006F37EA">
              <w:rPr>
                <w:rFonts w:ascii="Times New Roman" w:hAnsi="Times New Roman" w:cs="Times New Roman"/>
                <w:sz w:val="24"/>
                <w:szCs w:val="24"/>
              </w:rPr>
              <w:t xml:space="preserve">условия для реализации дополнительных общеобразовательных программ, учитывающие законодательство Российской </w:t>
            </w:r>
            <w:r w:rsidRPr="006F37EA">
              <w:rPr>
                <w:rFonts w:ascii="Times New Roman" w:hAnsi="Times New Roman" w:cs="Times New Roman"/>
                <w:sz w:val="24"/>
                <w:szCs w:val="24"/>
              </w:rPr>
              <w:lastRenderedPageBreak/>
              <w:t>Федерации в области обеспечения санитарно-эпидемиологического благополучия населения?</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8">
              <w:r w:rsidR="006F37EA" w:rsidRPr="006F37EA">
                <w:rPr>
                  <w:rFonts w:ascii="Times New Roman" w:hAnsi="Times New Roman" w:cs="Times New Roman"/>
                  <w:color w:val="0000FF"/>
                  <w:sz w:val="24"/>
                  <w:szCs w:val="24"/>
                </w:rPr>
                <w:t>Пункт 7</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6.</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Осуществляется ли в порядке, установленном локальными нормативными актами обучение по индивидуальному учебному плану, в том числе ускоренное обучение, в пределах осваиваемой дополнительной общеобразовательной программы?</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9">
              <w:r w:rsidR="006F37EA" w:rsidRPr="006F37EA">
                <w:rPr>
                  <w:rFonts w:ascii="Times New Roman" w:hAnsi="Times New Roman" w:cs="Times New Roman"/>
                  <w:color w:val="0000FF"/>
                  <w:sz w:val="24"/>
                  <w:szCs w:val="24"/>
                </w:rPr>
                <w:t>Пункт 10</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7.</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Составляется ли расписание занятий объединения для создания наиболее благоприятного режима труда и отдыха обучающихся организацией, осуществляющей образовательную деятельность,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10">
              <w:r w:rsidR="006F37EA" w:rsidRPr="006F37EA">
                <w:rPr>
                  <w:rFonts w:ascii="Times New Roman" w:hAnsi="Times New Roman" w:cs="Times New Roman"/>
                  <w:color w:val="0000FF"/>
                  <w:sz w:val="24"/>
                  <w:szCs w:val="24"/>
                </w:rPr>
                <w:t>Пункт 11</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val="restart"/>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8.</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Определяются ли локальным нормативным актом:</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количество обучающихся в объединении?</w:t>
            </w:r>
          </w:p>
        </w:tc>
        <w:tc>
          <w:tcPr>
            <w:tcW w:w="3572" w:type="dxa"/>
            <w:vMerge w:val="restart"/>
          </w:tcPr>
          <w:p w:rsidR="006F37EA" w:rsidRPr="006F37EA" w:rsidRDefault="00DC26C5" w:rsidP="006F37EA">
            <w:pPr>
              <w:pStyle w:val="ConsPlusNormal"/>
              <w:jc w:val="center"/>
              <w:rPr>
                <w:rFonts w:ascii="Times New Roman" w:hAnsi="Times New Roman" w:cs="Times New Roman"/>
                <w:sz w:val="24"/>
                <w:szCs w:val="24"/>
              </w:rPr>
            </w:pPr>
            <w:hyperlink r:id="rId11">
              <w:r w:rsidR="006F37EA" w:rsidRPr="006F37EA">
                <w:rPr>
                  <w:rFonts w:ascii="Times New Roman" w:hAnsi="Times New Roman" w:cs="Times New Roman"/>
                  <w:color w:val="0000FF"/>
                  <w:sz w:val="24"/>
                  <w:szCs w:val="24"/>
                </w:rPr>
                <w:t>Пункт 11</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возрастные категории обучающихся в объединении?</w:t>
            </w:r>
          </w:p>
        </w:tc>
        <w:tc>
          <w:tcPr>
            <w:tcW w:w="3572" w:type="dxa"/>
            <w:vMerge/>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продолжительность учебных занятий в объединении?</w:t>
            </w:r>
          </w:p>
        </w:tc>
        <w:tc>
          <w:tcPr>
            <w:tcW w:w="3572" w:type="dxa"/>
            <w:vMerge/>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9.</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Определяются ли формы обучения по дополнительным </w:t>
            </w:r>
            <w:r w:rsidRPr="006F37EA">
              <w:rPr>
                <w:rFonts w:ascii="Times New Roman" w:hAnsi="Times New Roman" w:cs="Times New Roman"/>
                <w:sz w:val="24"/>
                <w:szCs w:val="24"/>
              </w:rPr>
              <w:lastRenderedPageBreak/>
              <w:t xml:space="preserve">общеобразовательным программам </w:t>
            </w:r>
            <w:r w:rsidR="007D4427">
              <w:rPr>
                <w:rFonts w:ascii="Times New Roman" w:hAnsi="Times New Roman" w:cs="Times New Roman"/>
                <w:sz w:val="24"/>
                <w:szCs w:val="24"/>
              </w:rPr>
              <w:t>самостоятельно</w:t>
            </w:r>
            <w:r w:rsidRPr="006F37EA">
              <w:rPr>
                <w:rFonts w:ascii="Times New Roman" w:hAnsi="Times New Roman" w:cs="Times New Roman"/>
                <w:sz w:val="24"/>
                <w:szCs w:val="24"/>
              </w:rPr>
              <w:t>?</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12">
              <w:r w:rsidR="006F37EA" w:rsidRPr="006F37EA">
                <w:rPr>
                  <w:rFonts w:ascii="Times New Roman" w:hAnsi="Times New Roman" w:cs="Times New Roman"/>
                  <w:color w:val="0000FF"/>
                  <w:sz w:val="24"/>
                  <w:szCs w:val="24"/>
                </w:rPr>
                <w:t>Пункт 12</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10.</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Соблюдается ли требование о недопустимости использования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13">
              <w:r w:rsidR="006F37EA" w:rsidRPr="006F37EA">
                <w:rPr>
                  <w:rFonts w:ascii="Times New Roman" w:hAnsi="Times New Roman" w:cs="Times New Roman"/>
                  <w:color w:val="0000FF"/>
                  <w:sz w:val="24"/>
                  <w:szCs w:val="24"/>
                </w:rPr>
                <w:t>Пункт 16</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11.</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Обновля</w:t>
            </w:r>
            <w:r w:rsidR="00DC26C5">
              <w:rPr>
                <w:rFonts w:ascii="Times New Roman" w:hAnsi="Times New Roman" w:cs="Times New Roman"/>
                <w:sz w:val="24"/>
                <w:szCs w:val="24"/>
              </w:rPr>
              <w:t>ются</w:t>
            </w:r>
            <w:r w:rsidRPr="006F37EA">
              <w:rPr>
                <w:rFonts w:ascii="Times New Roman" w:hAnsi="Times New Roman" w:cs="Times New Roman"/>
                <w:sz w:val="24"/>
                <w:szCs w:val="24"/>
              </w:rPr>
              <w:t xml:space="preserve"> ли дополнительные общеобразовательные программы с учетом развития науки, техники, культуры, экономики, технологий и социальной сферы?</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14">
              <w:r w:rsidR="006F37EA" w:rsidRPr="006F37EA">
                <w:rPr>
                  <w:rFonts w:ascii="Times New Roman" w:hAnsi="Times New Roman" w:cs="Times New Roman"/>
                  <w:color w:val="0000FF"/>
                  <w:sz w:val="24"/>
                  <w:szCs w:val="24"/>
                </w:rPr>
                <w:t>Пункт 17</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12.</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Установлен ли локальными нормативными актами порядок получения дополнительного образования детей на иностранном языке в соответствии с дополнительной общеобразовательной программой и в соответствии с Федеральным </w:t>
            </w:r>
            <w:hyperlink r:id="rId15">
              <w:r w:rsidRPr="006F37EA">
                <w:rPr>
                  <w:rFonts w:ascii="Times New Roman" w:hAnsi="Times New Roman" w:cs="Times New Roman"/>
                  <w:color w:val="0000FF"/>
                  <w:sz w:val="24"/>
                  <w:szCs w:val="24"/>
                </w:rPr>
                <w:t>законом</w:t>
              </w:r>
            </w:hyperlink>
            <w:r w:rsidRPr="006F37EA">
              <w:rPr>
                <w:rFonts w:ascii="Times New Roman" w:hAnsi="Times New Roman" w:cs="Times New Roman"/>
                <w:sz w:val="24"/>
                <w:szCs w:val="24"/>
              </w:rPr>
              <w:t xml:space="preserve"> </w:t>
            </w:r>
            <w:r w:rsidR="00DC26C5">
              <w:rPr>
                <w:rFonts w:ascii="Times New Roman" w:hAnsi="Times New Roman" w:cs="Times New Roman"/>
                <w:sz w:val="24"/>
                <w:szCs w:val="24"/>
              </w:rPr>
              <w:t>№</w:t>
            </w:r>
            <w:r w:rsidRPr="006F37EA">
              <w:rPr>
                <w:rFonts w:ascii="Times New Roman" w:hAnsi="Times New Roman" w:cs="Times New Roman"/>
                <w:sz w:val="24"/>
                <w:szCs w:val="24"/>
              </w:rPr>
              <w:t xml:space="preserve"> 273-ФЗ?</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16">
              <w:r w:rsidR="006F37EA" w:rsidRPr="006F37EA">
                <w:rPr>
                  <w:rFonts w:ascii="Times New Roman" w:hAnsi="Times New Roman" w:cs="Times New Roman"/>
                  <w:color w:val="0000FF"/>
                  <w:sz w:val="24"/>
                  <w:szCs w:val="24"/>
                </w:rPr>
                <w:t>Пункт 18</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13.</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Осуществляется ли педагогическая деятельность по реализации дополнительных общеобразовательных программ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17">
              <w:r w:rsidR="006F37EA" w:rsidRPr="006F37EA">
                <w:rPr>
                  <w:rFonts w:ascii="Times New Roman" w:hAnsi="Times New Roman" w:cs="Times New Roman"/>
                  <w:color w:val="0000FF"/>
                  <w:sz w:val="24"/>
                  <w:szCs w:val="24"/>
                </w:rPr>
                <w:t>Пункт 20</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14.</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Определ</w:t>
            </w:r>
            <w:r w:rsidR="00DC26C5">
              <w:rPr>
                <w:rFonts w:ascii="Times New Roman" w:hAnsi="Times New Roman" w:cs="Times New Roman"/>
                <w:sz w:val="24"/>
                <w:szCs w:val="24"/>
              </w:rPr>
              <w:t>ены</w:t>
            </w:r>
            <w:r w:rsidRPr="006F37EA">
              <w:rPr>
                <w:rFonts w:ascii="Times New Roman" w:hAnsi="Times New Roman" w:cs="Times New Roman"/>
                <w:sz w:val="24"/>
                <w:szCs w:val="24"/>
              </w:rPr>
              <w:t xml:space="preserve"> ли формы аудиторных занятий, а также формы, порядок и периодичность проведения промежуточной аттестации обучающихся?</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18">
              <w:r w:rsidR="006F37EA" w:rsidRPr="006F37EA">
                <w:rPr>
                  <w:rFonts w:ascii="Times New Roman" w:hAnsi="Times New Roman" w:cs="Times New Roman"/>
                  <w:color w:val="0000FF"/>
                  <w:sz w:val="24"/>
                  <w:szCs w:val="24"/>
                </w:rPr>
                <w:t>Пункт 23</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15.</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Организует</w:t>
            </w:r>
            <w:r w:rsidR="00DC26C5">
              <w:rPr>
                <w:rFonts w:ascii="Times New Roman" w:hAnsi="Times New Roman" w:cs="Times New Roman"/>
                <w:sz w:val="24"/>
                <w:szCs w:val="24"/>
              </w:rPr>
              <w:t>ся</w:t>
            </w:r>
            <w:r w:rsidRPr="006F37EA">
              <w:rPr>
                <w:rFonts w:ascii="Times New Roman" w:hAnsi="Times New Roman" w:cs="Times New Roman"/>
                <w:sz w:val="24"/>
                <w:szCs w:val="24"/>
              </w:rPr>
              <w:t xml:space="preserve"> ли образовательный процесс по адаптированным дополнительным общеобразовательным программам, для обучающихся с ограниченными возможностями здоровья с учетом особенностей психофизического развития </w:t>
            </w:r>
            <w:proofErr w:type="gramStart"/>
            <w:r w:rsidR="00CE565C" w:rsidRPr="006F37EA">
              <w:rPr>
                <w:rFonts w:ascii="Times New Roman" w:hAnsi="Times New Roman" w:cs="Times New Roman"/>
                <w:sz w:val="24"/>
                <w:szCs w:val="24"/>
              </w:rPr>
              <w:t>указанных категорий</w:t>
            </w:r>
            <w:proofErr w:type="gramEnd"/>
            <w:r w:rsidRPr="006F37EA">
              <w:rPr>
                <w:rFonts w:ascii="Times New Roman" w:hAnsi="Times New Roman" w:cs="Times New Roman"/>
                <w:sz w:val="24"/>
                <w:szCs w:val="24"/>
              </w:rPr>
              <w:t xml:space="preserve"> обучающихся?</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19">
              <w:r w:rsidR="006F37EA" w:rsidRPr="006F37EA">
                <w:rPr>
                  <w:rFonts w:ascii="Times New Roman" w:hAnsi="Times New Roman" w:cs="Times New Roman"/>
                  <w:color w:val="0000FF"/>
                  <w:sz w:val="24"/>
                  <w:szCs w:val="24"/>
                </w:rPr>
                <w:t>Пункт 24</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16.</w:t>
            </w:r>
          </w:p>
        </w:tc>
        <w:tc>
          <w:tcPr>
            <w:tcW w:w="3404" w:type="dxa"/>
          </w:tcPr>
          <w:p w:rsidR="006F37EA" w:rsidRPr="006F37EA" w:rsidRDefault="006F37EA" w:rsidP="00DC26C5">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Создаются ли специальные условия в соответствии с заключением психолого-медико-педагогической комиссии и (или) индивидуальной программой реабилитации (</w:t>
            </w:r>
            <w:proofErr w:type="spellStart"/>
            <w:r w:rsidRPr="006F37EA">
              <w:rPr>
                <w:rFonts w:ascii="Times New Roman" w:hAnsi="Times New Roman" w:cs="Times New Roman"/>
                <w:sz w:val="24"/>
                <w:szCs w:val="24"/>
              </w:rPr>
              <w:t>абилитации</w:t>
            </w:r>
            <w:proofErr w:type="spellEnd"/>
            <w:r w:rsidRPr="006F37EA">
              <w:rPr>
                <w:rFonts w:ascii="Times New Roman" w:hAnsi="Times New Roman" w:cs="Times New Roman"/>
                <w:sz w:val="24"/>
                <w:szCs w:val="24"/>
              </w:rPr>
              <w:t>) инвалида, ребенка-инвалида?</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20">
              <w:r w:rsidR="006F37EA" w:rsidRPr="006F37EA">
                <w:rPr>
                  <w:rFonts w:ascii="Times New Roman" w:hAnsi="Times New Roman" w:cs="Times New Roman"/>
                  <w:color w:val="0000FF"/>
                  <w:sz w:val="24"/>
                  <w:szCs w:val="24"/>
                </w:rPr>
                <w:t>Пункт 24</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17.</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Определяются ли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правила доступности организаций, осуществляющих образовательную деятельность, реализующих образовательную деятельность по адаптированным общеобразовательным программам?</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21">
              <w:r w:rsidR="006F37EA" w:rsidRPr="006F37EA">
                <w:rPr>
                  <w:rFonts w:ascii="Times New Roman" w:hAnsi="Times New Roman" w:cs="Times New Roman"/>
                  <w:color w:val="0000FF"/>
                  <w:sz w:val="24"/>
                  <w:szCs w:val="24"/>
                </w:rPr>
                <w:t>Пункт 24</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val="restart"/>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18.</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Учитывает ли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особые образовательные потребности обучающихся различных нозологических групп, указанных в </w:t>
            </w:r>
            <w:hyperlink r:id="rId22">
              <w:r w:rsidRPr="006F37EA">
                <w:rPr>
                  <w:rFonts w:ascii="Times New Roman" w:hAnsi="Times New Roman" w:cs="Times New Roman"/>
                  <w:color w:val="0000FF"/>
                  <w:sz w:val="24"/>
                  <w:szCs w:val="24"/>
                </w:rPr>
                <w:t>пункте 26</w:t>
              </w:r>
            </w:hyperlink>
            <w:r w:rsidRPr="006F37EA">
              <w:rPr>
                <w:rFonts w:ascii="Times New Roman" w:hAnsi="Times New Roman" w:cs="Times New Roman"/>
                <w:sz w:val="24"/>
                <w:szCs w:val="24"/>
              </w:rPr>
              <w:t xml:space="preserve"> Порядка </w:t>
            </w:r>
            <w:r w:rsidR="00DC26C5">
              <w:rPr>
                <w:rFonts w:ascii="Times New Roman" w:hAnsi="Times New Roman" w:cs="Times New Roman"/>
                <w:sz w:val="24"/>
                <w:szCs w:val="24"/>
              </w:rPr>
              <w:t>№</w:t>
            </w:r>
            <w:r w:rsidRPr="006F37EA">
              <w:rPr>
                <w:rFonts w:ascii="Times New Roman" w:hAnsi="Times New Roman" w:cs="Times New Roman"/>
                <w:sz w:val="24"/>
                <w:szCs w:val="24"/>
              </w:rPr>
              <w:t xml:space="preserve"> 629, и направлена ли на решение следующих задач:</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а) оказание психолого-педагогической помощи, реабилитации (</w:t>
            </w:r>
            <w:proofErr w:type="spellStart"/>
            <w:r w:rsidRPr="006F37EA">
              <w:rPr>
                <w:rFonts w:ascii="Times New Roman" w:hAnsi="Times New Roman" w:cs="Times New Roman"/>
                <w:sz w:val="24"/>
                <w:szCs w:val="24"/>
              </w:rPr>
              <w:t>абилитации</w:t>
            </w:r>
            <w:proofErr w:type="spellEnd"/>
            <w:r w:rsidRPr="006F37EA">
              <w:rPr>
                <w:rFonts w:ascii="Times New Roman" w:hAnsi="Times New Roman" w:cs="Times New Roman"/>
                <w:sz w:val="24"/>
                <w:szCs w:val="24"/>
              </w:rPr>
              <w:t>)?</w:t>
            </w:r>
          </w:p>
        </w:tc>
        <w:tc>
          <w:tcPr>
            <w:tcW w:w="3572" w:type="dxa"/>
            <w:vMerge w:val="restart"/>
          </w:tcPr>
          <w:p w:rsidR="006F37EA" w:rsidRPr="006F37EA" w:rsidRDefault="00DC26C5" w:rsidP="006F37EA">
            <w:pPr>
              <w:pStyle w:val="ConsPlusNormal"/>
              <w:jc w:val="center"/>
              <w:rPr>
                <w:rFonts w:ascii="Times New Roman" w:hAnsi="Times New Roman" w:cs="Times New Roman"/>
                <w:sz w:val="24"/>
                <w:szCs w:val="24"/>
              </w:rPr>
            </w:pPr>
            <w:hyperlink r:id="rId23">
              <w:r w:rsidR="006F37EA" w:rsidRPr="006F37EA">
                <w:rPr>
                  <w:rFonts w:ascii="Times New Roman" w:hAnsi="Times New Roman" w:cs="Times New Roman"/>
                  <w:color w:val="0000FF"/>
                  <w:sz w:val="24"/>
                  <w:szCs w:val="24"/>
                </w:rPr>
                <w:t>Пункт 25</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б) предоставление дифференцированной помощи, в том числе оказание ассистентом (помощником) при необходимости технической помощи?</w:t>
            </w:r>
          </w:p>
        </w:tc>
        <w:tc>
          <w:tcPr>
            <w:tcW w:w="3572" w:type="dxa"/>
            <w:vMerge/>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в) обеспечение возможности вербальной и невербальной коммуникации для обучающихся с выраженными проблемами коммуникации, в том числе:</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с использованием средств альтернативной или дополнительной коммуникации?</w:t>
            </w:r>
          </w:p>
        </w:tc>
        <w:tc>
          <w:tcPr>
            <w:tcW w:w="3572" w:type="dxa"/>
            <w:vMerge/>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воспитание самостоятельности и независимости при освоении доступных видов деятельности?</w:t>
            </w:r>
          </w:p>
        </w:tc>
        <w:tc>
          <w:tcPr>
            <w:tcW w:w="3572" w:type="dxa"/>
            <w:vMerge/>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формирование интереса к определенному виду деятельности в рамках реализации дополнительных общеобразовательных программ?</w:t>
            </w:r>
          </w:p>
        </w:tc>
        <w:tc>
          <w:tcPr>
            <w:tcW w:w="3572" w:type="dxa"/>
            <w:vMerge/>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19.</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Определяются ли содержание образования и условия организации обучения и воспитания обучающихся с ограниченными возможностями здоровья адаптированной образовательной программой, а для инвалидов также в соответствии с индивидуальной программой реабилитации инвалида?</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24">
              <w:r w:rsidR="006F37EA" w:rsidRPr="006F37EA">
                <w:rPr>
                  <w:rFonts w:ascii="Times New Roman" w:hAnsi="Times New Roman" w:cs="Times New Roman"/>
                  <w:color w:val="0000FF"/>
                  <w:sz w:val="24"/>
                  <w:szCs w:val="24"/>
                </w:rPr>
                <w:t>Пункт 26</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val="restart"/>
            <w:tcBorders>
              <w:bottom w:val="nil"/>
            </w:tcBorders>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20.</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Обеспечивают ли 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создание специальных условий для получения образования указанными обучающимися, в том числе:</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а) для обучающихся с ограниченными возможностями здоровья по зрению:</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размещение в доступных для обучающихся, являющихся слепыми и слабовидящими, местах и в адаптированной форме (с учетом их особых потребностей) тактильные информационные таблички, выполненные укрупненным шрифтом, и с использованием рельефно-линейного шрифта или рельефно-точечного шрифта Брайля, с номерами и наименованиями помещений, а также справочной информацией о расписании учебных занятий?</w:t>
            </w:r>
          </w:p>
        </w:tc>
        <w:tc>
          <w:tcPr>
            <w:tcW w:w="3572" w:type="dxa"/>
            <w:vMerge w:val="restart"/>
            <w:tcBorders>
              <w:bottom w:val="nil"/>
            </w:tcBorders>
          </w:tcPr>
          <w:p w:rsidR="006F37EA" w:rsidRPr="006F37EA" w:rsidRDefault="00DC26C5" w:rsidP="006F37EA">
            <w:pPr>
              <w:pStyle w:val="ConsPlusNormal"/>
              <w:jc w:val="center"/>
              <w:rPr>
                <w:rFonts w:ascii="Times New Roman" w:hAnsi="Times New Roman" w:cs="Times New Roman"/>
                <w:sz w:val="24"/>
                <w:szCs w:val="24"/>
              </w:rPr>
            </w:pPr>
            <w:hyperlink r:id="rId25">
              <w:r w:rsidR="006F37EA" w:rsidRPr="006F37EA">
                <w:rPr>
                  <w:rFonts w:ascii="Times New Roman" w:hAnsi="Times New Roman" w:cs="Times New Roman"/>
                  <w:color w:val="0000FF"/>
                  <w:sz w:val="24"/>
                  <w:szCs w:val="24"/>
                </w:rPr>
                <w:t>Пункт 27</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доступ обучающегося, являющегося слепым и использующего собаку-поводыря, к зданию организации, осуществляющей образовательную деятельность, располагающему местом для размещения собаки-поводыря в часы обучения самого обучающегося?</w:t>
            </w:r>
          </w:p>
        </w:tc>
        <w:tc>
          <w:tcPr>
            <w:tcW w:w="3572"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звуковые маяки, облегчающие поиск входа в организацию, осуществляющую образовательную деятельность?</w:t>
            </w:r>
          </w:p>
        </w:tc>
        <w:tc>
          <w:tcPr>
            <w:tcW w:w="3572"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выпуск альтернативных форматов печатных материалов по дополнительным общеобразовательным программам (крупный шрифт или аудиофайлы)?</w:t>
            </w:r>
          </w:p>
        </w:tc>
        <w:tc>
          <w:tcPr>
            <w:tcW w:w="3572"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 контрастную маркировку </w:t>
            </w:r>
            <w:proofErr w:type="spellStart"/>
            <w:r w:rsidRPr="006F37EA">
              <w:rPr>
                <w:rFonts w:ascii="Times New Roman" w:hAnsi="Times New Roman" w:cs="Times New Roman"/>
                <w:sz w:val="24"/>
                <w:szCs w:val="24"/>
              </w:rPr>
              <w:t>проступей</w:t>
            </w:r>
            <w:proofErr w:type="spellEnd"/>
            <w:r w:rsidRPr="006F37EA">
              <w:rPr>
                <w:rFonts w:ascii="Times New Roman" w:hAnsi="Times New Roman" w:cs="Times New Roman"/>
                <w:sz w:val="24"/>
                <w:szCs w:val="24"/>
              </w:rPr>
              <w:t xml:space="preserve"> крайних ступеней в виде противоскользящих полос?</w:t>
            </w:r>
          </w:p>
        </w:tc>
        <w:tc>
          <w:tcPr>
            <w:tcW w:w="3572"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контрастную маркировку прозрачных полотен дверей и ограждений (перегородок)?</w:t>
            </w:r>
          </w:p>
        </w:tc>
        <w:tc>
          <w:tcPr>
            <w:tcW w:w="3572"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выделяет ли организация, осуществляющая образовательную деятельность при реализации дополнительных общеразвивающих программ в области физической культуры и спорта полосой, имеющей контрастную окраску по отношению к цвету обходной дорожки край ванны бассейна по всему периметру?</w:t>
            </w:r>
          </w:p>
        </w:tc>
        <w:tc>
          <w:tcPr>
            <w:tcW w:w="3572"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применение специальных методов и приемов обучения, связанных с показом и демонстрацией движений и практических действий?</w:t>
            </w:r>
          </w:p>
        </w:tc>
        <w:tc>
          <w:tcPr>
            <w:tcW w:w="3572" w:type="dxa"/>
            <w:vMerge/>
            <w:tcBorders>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val="restart"/>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использование специальных учебников, учебных пособий и наглядных дидактических средств (муляжи, модели, макеты, укрупненные и (или) рельефные иллюстрации)?</w:t>
            </w:r>
          </w:p>
        </w:tc>
        <w:tc>
          <w:tcPr>
            <w:tcW w:w="3572" w:type="dxa"/>
            <w:vMerge w:val="restart"/>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применение специального спортивного инвентаря и рельефно-контрастной маркировки спортивных залов и игровых площадок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б) для обучающихся с ограниченными возможностями здоровья по слуху:</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визуально-акустического оборудования с возможностью трансляции субтитров)?</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 обеспечение возможности понимания и восприятия обучающимися на </w:t>
            </w:r>
            <w:proofErr w:type="spellStart"/>
            <w:r w:rsidRPr="006F37EA">
              <w:rPr>
                <w:rFonts w:ascii="Times New Roman" w:hAnsi="Times New Roman" w:cs="Times New Roman"/>
                <w:sz w:val="24"/>
                <w:szCs w:val="24"/>
              </w:rPr>
              <w:t>слухо</w:t>
            </w:r>
            <w:proofErr w:type="spellEnd"/>
            <w:r w:rsidRPr="006F37EA">
              <w:rPr>
                <w:rFonts w:ascii="Times New Roman" w:hAnsi="Times New Roman" w:cs="Times New Roman"/>
                <w:sz w:val="24"/>
                <w:szCs w:val="24"/>
              </w:rPr>
              <w:t>-зрительной основе инструкций и речевого материала, связанного с тематикой учебных занятий, а также использования его в самостоятельной речи?</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 использование с учетом речевого развития обучающихся разных форм словесной речи (устной, письменной, </w:t>
            </w:r>
            <w:proofErr w:type="spellStart"/>
            <w:r w:rsidRPr="006F37EA">
              <w:rPr>
                <w:rFonts w:ascii="Times New Roman" w:hAnsi="Times New Roman" w:cs="Times New Roman"/>
                <w:sz w:val="24"/>
                <w:szCs w:val="24"/>
              </w:rPr>
              <w:t>дактильной</w:t>
            </w:r>
            <w:proofErr w:type="spellEnd"/>
            <w:r w:rsidRPr="006F37EA">
              <w:rPr>
                <w:rFonts w:ascii="Times New Roman" w:hAnsi="Times New Roman" w:cs="Times New Roman"/>
                <w:sz w:val="24"/>
                <w:szCs w:val="24"/>
              </w:rPr>
              <w:t>) для обеспечения полноты и точности восприятия информации и организации речевого взаимодействия в процессе учебных занятий?</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в) для обучающихся, имеющих нарушения опорно-двигательного аппарата:</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материально-технические условия, предусматривающие возможность беспрепятственного доступа обучающихся в учебные помещения, столовые, туалетные и другие помещения организации,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val="restart"/>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rPr>
                <w:rFonts w:ascii="Times New Roman" w:hAnsi="Times New Roman" w:cs="Times New Roman"/>
                <w:sz w:val="24"/>
                <w:szCs w:val="24"/>
              </w:rPr>
            </w:pPr>
            <w:r w:rsidRPr="006F37EA">
              <w:rPr>
                <w:rFonts w:ascii="Times New Roman" w:hAnsi="Times New Roman" w:cs="Times New Roman"/>
                <w:sz w:val="24"/>
                <w:szCs w:val="24"/>
              </w:rPr>
              <w:t xml:space="preserve">- </w:t>
            </w:r>
            <w:proofErr w:type="spellStart"/>
            <w:r w:rsidRPr="006F37EA">
              <w:rPr>
                <w:rFonts w:ascii="Times New Roman" w:hAnsi="Times New Roman" w:cs="Times New Roman"/>
                <w:sz w:val="24"/>
                <w:szCs w:val="24"/>
              </w:rPr>
              <w:t>безбарьерную</w:t>
            </w:r>
            <w:proofErr w:type="spellEnd"/>
            <w:r w:rsidRPr="006F37EA">
              <w:rPr>
                <w:rFonts w:ascii="Times New Roman" w:hAnsi="Times New Roman" w:cs="Times New Roman"/>
                <w:sz w:val="24"/>
                <w:szCs w:val="24"/>
              </w:rPr>
              <w:t xml:space="preserve"> архитектурно-планировочную среду?</w:t>
            </w:r>
          </w:p>
        </w:tc>
        <w:tc>
          <w:tcPr>
            <w:tcW w:w="3572" w:type="dxa"/>
            <w:vMerge w:val="restart"/>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обеспечение возможности вербальной и невербальной коммуникации (для обучающихся с двигательными нарушениями в сочетании с грубыми нарушениями речи и коммуникации)?</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включение в содержание образования упражнений на развитие равновесия, точность воспроизведения характера движений по темпу, ритмичности, напряженности, амплитуде и другое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г) для обучающихся с тяжелыми нарушениями речи:</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адаптация содержания теоретического материала в текстовом/аудио-/</w:t>
            </w:r>
            <w:proofErr w:type="spellStart"/>
            <w:r w:rsidRPr="006F37EA">
              <w:rPr>
                <w:rFonts w:ascii="Times New Roman" w:hAnsi="Times New Roman" w:cs="Times New Roman"/>
                <w:sz w:val="24"/>
                <w:szCs w:val="24"/>
              </w:rPr>
              <w:t>видеоформате</w:t>
            </w:r>
            <w:proofErr w:type="spellEnd"/>
            <w:r w:rsidRPr="006F37EA">
              <w:rPr>
                <w:rFonts w:ascii="Times New Roman" w:hAnsi="Times New Roman" w:cs="Times New Roman"/>
                <w:sz w:val="24"/>
                <w:szCs w:val="24"/>
              </w:rPr>
              <w:t xml:space="preserve"> в соответствии с речевыми возможностями обучающихся; создание условий, облегчающих работу с данным теоретическим материалом (восприятие/воспроизведение)?</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использование средств альтернативной коммуникации, включая коммуникаторы, специальные планшеты, кнопки, коммуникативные программы, коммуникативные доски и так далее?</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преимущественное использование методов и приемов демонстрации, показа действий, зрительного образца перед вербальными методами на первоначальном периоде обучения?</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стимуляция речевой активности и коммуникации (словесные отчеты о выполненных действиях, формулирование вопросов, поддержание диалога, информирование о возникающих проблемах)?</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обеспечение понимания обращенной речи (четкое, внятное проговаривание инструкций, коротких и ясных по содержанию)?</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val="restart"/>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нормативные речевые образцы (грамотная речь педагога (тренера, инструктора)?</w:t>
            </w:r>
          </w:p>
        </w:tc>
        <w:tc>
          <w:tcPr>
            <w:tcW w:w="3572" w:type="dxa"/>
            <w:vMerge w:val="restart"/>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расширение пассивного и активного словаря обучающихся с тяжелыми нарушениями речи за счет освоения специальной терминологии?</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д) для обучающихся с расстройствами аутистического спектра (РАС):</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использование визуальных расписаний?</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е) для обучающихся с задержкой психического развития:</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использование дополнительной визуальной поддержки в виде смысловых опор, облегчающих восприятие инструкций, усвоение правил, алгоритмов выполнения спортивных упражнений (например, пошаговая памятка или визуальная подсказка, выполненная в знаково-символической форме)?</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 обеспечение особой структуры учебного занятия, обеспечивающей профилактику физических, эмоциональных и/или интеллектуальных перегрузок и формирование </w:t>
            </w:r>
            <w:proofErr w:type="spellStart"/>
            <w:r w:rsidRPr="006F37EA">
              <w:rPr>
                <w:rFonts w:ascii="Times New Roman" w:hAnsi="Times New Roman" w:cs="Times New Roman"/>
                <w:sz w:val="24"/>
                <w:szCs w:val="24"/>
              </w:rPr>
              <w:t>саморегуляции</w:t>
            </w:r>
            <w:proofErr w:type="spellEnd"/>
            <w:r w:rsidRPr="006F37EA">
              <w:rPr>
                <w:rFonts w:ascii="Times New Roman" w:hAnsi="Times New Roman" w:cs="Times New Roman"/>
                <w:sz w:val="24"/>
                <w:szCs w:val="24"/>
              </w:rPr>
              <w:t xml:space="preserve"> деятельности и поведения?</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использование специальных приемов и методов обучения?</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дифференциация требований к процессу и результатам учебных занятий с учетом психофизических возможностей обучающихся?</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 соблюдение оптимального режима физической нагрузки с учетом особенностей </w:t>
            </w:r>
            <w:proofErr w:type="spellStart"/>
            <w:r w:rsidRPr="006F37EA">
              <w:rPr>
                <w:rFonts w:ascii="Times New Roman" w:hAnsi="Times New Roman" w:cs="Times New Roman"/>
                <w:sz w:val="24"/>
                <w:szCs w:val="24"/>
              </w:rPr>
              <w:t>нейродинамики</w:t>
            </w:r>
            <w:proofErr w:type="spellEnd"/>
            <w:r w:rsidRPr="006F37EA">
              <w:rPr>
                <w:rFonts w:ascii="Times New Roman" w:hAnsi="Times New Roman" w:cs="Times New Roman"/>
                <w:sz w:val="24"/>
                <w:szCs w:val="24"/>
              </w:rPr>
              <w:t xml:space="preserve"> обучающегося, его работоспособности, темповых характеристик,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w:t>
            </w:r>
            <w:proofErr w:type="spellStart"/>
            <w:r w:rsidRPr="006F37EA">
              <w:rPr>
                <w:rFonts w:ascii="Times New Roman" w:hAnsi="Times New Roman" w:cs="Times New Roman"/>
                <w:sz w:val="24"/>
                <w:szCs w:val="24"/>
              </w:rPr>
              <w:t>нейродинамики</w:t>
            </w:r>
            <w:proofErr w:type="spellEnd"/>
            <w:r w:rsidRPr="006F37EA">
              <w:rPr>
                <w:rFonts w:ascii="Times New Roman" w:hAnsi="Times New Roman" w:cs="Times New Roman"/>
                <w:sz w:val="24"/>
                <w:szCs w:val="24"/>
              </w:rPr>
              <w:t xml:space="preserve"> психических процессов обучающегося (быстрой истощаемости, низкой работоспособности, пониженного общего тонуса и другие), использование </w:t>
            </w:r>
            <w:proofErr w:type="spellStart"/>
            <w:r w:rsidRPr="006F37EA">
              <w:rPr>
                <w:rFonts w:ascii="Times New Roman" w:hAnsi="Times New Roman" w:cs="Times New Roman"/>
                <w:sz w:val="24"/>
                <w:szCs w:val="24"/>
              </w:rPr>
              <w:t>здоровьесберегающих</w:t>
            </w:r>
            <w:proofErr w:type="spellEnd"/>
            <w:r w:rsidRPr="006F37EA">
              <w:rPr>
                <w:rFonts w:ascii="Times New Roman" w:hAnsi="Times New Roman" w:cs="Times New Roman"/>
                <w:sz w:val="24"/>
                <w:szCs w:val="24"/>
              </w:rPr>
              <w:t xml:space="preserve"> и коррекционно-оздоровительных технологий, направленных на компенсацию нарушений моторики, пространственной ориентировки, внимания, </w:t>
            </w:r>
            <w:proofErr w:type="spellStart"/>
            <w:r w:rsidRPr="006F37EA">
              <w:rPr>
                <w:rFonts w:ascii="Times New Roman" w:hAnsi="Times New Roman" w:cs="Times New Roman"/>
                <w:sz w:val="24"/>
                <w:szCs w:val="24"/>
              </w:rPr>
              <w:t>скоординированности</w:t>
            </w:r>
            <w:proofErr w:type="spellEnd"/>
            <w:r w:rsidRPr="006F37EA">
              <w:rPr>
                <w:rFonts w:ascii="Times New Roman" w:hAnsi="Times New Roman" w:cs="Times New Roman"/>
                <w:sz w:val="24"/>
                <w:szCs w:val="24"/>
              </w:rPr>
              <w:t xml:space="preserve"> межанализаторных систем (при реализации дополнительных общеразвивающих программ в области физической культуры и спорта)?</w:t>
            </w:r>
          </w:p>
        </w:tc>
        <w:tc>
          <w:tcPr>
            <w:tcW w:w="3572" w:type="dxa"/>
            <w:vMerge/>
            <w:tcBorders>
              <w:top w:val="nil"/>
              <w:bottom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val="restart"/>
            <w:tcBorders>
              <w:top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ж) для обучающихся с умственной отсталостью (интеллектуальными нарушениями):</w:t>
            </w:r>
          </w:p>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специально оборудованные "зоны отдыха" для снятия сенсорной и эмоциональной перегрузки?</w:t>
            </w:r>
          </w:p>
        </w:tc>
        <w:tc>
          <w:tcPr>
            <w:tcW w:w="3572" w:type="dxa"/>
            <w:vMerge w:val="restart"/>
            <w:tcBorders>
              <w:top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 для обучающихся с выраженными сложными дефектами (тяжелыми и множественными нарушениями развития) - психолого-педагогическое </w:t>
            </w:r>
            <w:proofErr w:type="spellStart"/>
            <w:r w:rsidRPr="006F37EA">
              <w:rPr>
                <w:rFonts w:ascii="Times New Roman" w:hAnsi="Times New Roman" w:cs="Times New Roman"/>
                <w:sz w:val="24"/>
                <w:szCs w:val="24"/>
              </w:rPr>
              <w:t>тьюторское</w:t>
            </w:r>
            <w:proofErr w:type="spellEnd"/>
            <w:r w:rsidRPr="006F37EA">
              <w:rPr>
                <w:rFonts w:ascii="Times New Roman" w:hAnsi="Times New Roman" w:cs="Times New Roman"/>
                <w:sz w:val="24"/>
                <w:szCs w:val="24"/>
              </w:rPr>
              <w:t xml:space="preserve"> сопровождение?</w:t>
            </w:r>
          </w:p>
        </w:tc>
        <w:tc>
          <w:tcPr>
            <w:tcW w:w="3572" w:type="dxa"/>
            <w:vMerge/>
            <w:tcBorders>
              <w:top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 учет </w:t>
            </w:r>
            <w:proofErr w:type="gramStart"/>
            <w:r w:rsidRPr="006F37EA">
              <w:rPr>
                <w:rFonts w:ascii="Times New Roman" w:hAnsi="Times New Roman" w:cs="Times New Roman"/>
                <w:sz w:val="24"/>
                <w:szCs w:val="24"/>
              </w:rPr>
              <w:t>особенностей</w:t>
            </w:r>
            <w:proofErr w:type="gramEnd"/>
            <w:r w:rsidRPr="006F37EA">
              <w:rPr>
                <w:rFonts w:ascii="Times New Roman" w:hAnsi="Times New Roman" w:cs="Times New Roman"/>
                <w:sz w:val="24"/>
                <w:szCs w:val="24"/>
              </w:rPr>
              <w:t xml:space="preserve"> обучающихся с умственной отсталостью (коммуникативные трудности с новыми людьми, замедленное восприятие и ориентировка в новом пространстве, ограниченное понимание словесной инструкции, замедленный темп усвоения нового материала, новых движений, изменения в поведении при физических нагрузках)?</w:t>
            </w:r>
          </w:p>
        </w:tc>
        <w:tc>
          <w:tcPr>
            <w:tcW w:w="3572" w:type="dxa"/>
            <w:vMerge/>
            <w:tcBorders>
              <w:top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vMerge/>
            <w:tcBorders>
              <w:top w:val="nil"/>
            </w:tcBorders>
          </w:tcPr>
          <w:p w:rsidR="006F37EA" w:rsidRPr="006F37EA" w:rsidRDefault="006F37EA" w:rsidP="006F37EA">
            <w:pPr>
              <w:pStyle w:val="ConsPlusNormal"/>
              <w:rPr>
                <w:rFonts w:ascii="Times New Roman" w:hAnsi="Times New Roman" w:cs="Times New Roman"/>
                <w:sz w:val="24"/>
                <w:szCs w:val="24"/>
              </w:rPr>
            </w:pP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сочетание различных методов обучения (подражание, показ, образец, словесная инструкция) с преобладанием практических методов обучения, многократное повторение для усвоения нового материала, новых движений?</w:t>
            </w:r>
          </w:p>
        </w:tc>
        <w:tc>
          <w:tcPr>
            <w:tcW w:w="3572" w:type="dxa"/>
            <w:vMerge/>
            <w:tcBorders>
              <w:top w:val="nil"/>
            </w:tcBorders>
          </w:tcPr>
          <w:p w:rsidR="006F37EA" w:rsidRPr="006F37EA" w:rsidRDefault="006F37EA" w:rsidP="006F37EA">
            <w:pPr>
              <w:pStyle w:val="ConsPlusNormal"/>
              <w:rPr>
                <w:rFonts w:ascii="Times New Roman" w:hAnsi="Times New Roman" w:cs="Times New Roman"/>
                <w:sz w:val="24"/>
                <w:szCs w:val="24"/>
              </w:rPr>
            </w:pP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r w:rsidR="006F37EA" w:rsidRPr="006F37EA" w:rsidTr="006F37EA">
        <w:tc>
          <w:tcPr>
            <w:tcW w:w="566" w:type="dxa"/>
          </w:tcPr>
          <w:p w:rsidR="006F37EA" w:rsidRPr="006F37EA" w:rsidRDefault="006F37EA" w:rsidP="006F37EA">
            <w:pPr>
              <w:pStyle w:val="ConsPlusNormal"/>
              <w:jc w:val="center"/>
              <w:rPr>
                <w:rFonts w:ascii="Times New Roman" w:hAnsi="Times New Roman" w:cs="Times New Roman"/>
                <w:sz w:val="24"/>
                <w:szCs w:val="24"/>
              </w:rPr>
            </w:pPr>
            <w:r w:rsidRPr="006F37EA">
              <w:rPr>
                <w:rFonts w:ascii="Times New Roman" w:hAnsi="Times New Roman" w:cs="Times New Roman"/>
                <w:sz w:val="24"/>
                <w:szCs w:val="24"/>
              </w:rPr>
              <w:t>21.</w:t>
            </w:r>
          </w:p>
        </w:tc>
        <w:tc>
          <w:tcPr>
            <w:tcW w:w="3404" w:type="dxa"/>
          </w:tcPr>
          <w:p w:rsidR="006F37EA" w:rsidRPr="006F37EA" w:rsidRDefault="006F37EA" w:rsidP="006F37EA">
            <w:pPr>
              <w:pStyle w:val="ConsPlusNormal"/>
              <w:jc w:val="both"/>
              <w:rPr>
                <w:rFonts w:ascii="Times New Roman" w:hAnsi="Times New Roman" w:cs="Times New Roman"/>
                <w:sz w:val="24"/>
                <w:szCs w:val="24"/>
              </w:rPr>
            </w:pPr>
            <w:r w:rsidRPr="006F37EA">
              <w:rPr>
                <w:rFonts w:ascii="Times New Roman" w:hAnsi="Times New Roman" w:cs="Times New Roman"/>
                <w:sz w:val="24"/>
                <w:szCs w:val="24"/>
              </w:rPr>
              <w:t xml:space="preserve">Предоставляются ли при реализации адаптированных дополнительных общеобразовательных программ обучающимся с ограниченными возможностями здоровья бесплатно специальные учебники и учебные пособия, иная учебная литература, а также услуги </w:t>
            </w:r>
            <w:proofErr w:type="spellStart"/>
            <w:r w:rsidRPr="006F37EA">
              <w:rPr>
                <w:rFonts w:ascii="Times New Roman" w:hAnsi="Times New Roman" w:cs="Times New Roman"/>
                <w:sz w:val="24"/>
                <w:szCs w:val="24"/>
              </w:rPr>
              <w:t>сурдопереводчиков</w:t>
            </w:r>
            <w:proofErr w:type="spellEnd"/>
            <w:r w:rsidRPr="006F37EA">
              <w:rPr>
                <w:rFonts w:ascii="Times New Roman" w:hAnsi="Times New Roman" w:cs="Times New Roman"/>
                <w:sz w:val="24"/>
                <w:szCs w:val="24"/>
              </w:rPr>
              <w:t xml:space="preserve"> и </w:t>
            </w:r>
            <w:proofErr w:type="spellStart"/>
            <w:r w:rsidRPr="006F37EA">
              <w:rPr>
                <w:rFonts w:ascii="Times New Roman" w:hAnsi="Times New Roman" w:cs="Times New Roman"/>
                <w:sz w:val="24"/>
                <w:szCs w:val="24"/>
              </w:rPr>
              <w:t>тифлосурдопереводчиков</w:t>
            </w:r>
            <w:proofErr w:type="spellEnd"/>
            <w:r w:rsidRPr="006F37EA">
              <w:rPr>
                <w:rFonts w:ascii="Times New Roman" w:hAnsi="Times New Roman" w:cs="Times New Roman"/>
                <w:sz w:val="24"/>
                <w:szCs w:val="24"/>
              </w:rPr>
              <w:t>?</w:t>
            </w:r>
          </w:p>
        </w:tc>
        <w:tc>
          <w:tcPr>
            <w:tcW w:w="3572" w:type="dxa"/>
          </w:tcPr>
          <w:p w:rsidR="006F37EA" w:rsidRPr="006F37EA" w:rsidRDefault="00DC26C5" w:rsidP="006F37EA">
            <w:pPr>
              <w:pStyle w:val="ConsPlusNormal"/>
              <w:jc w:val="center"/>
              <w:rPr>
                <w:rFonts w:ascii="Times New Roman" w:hAnsi="Times New Roman" w:cs="Times New Roman"/>
                <w:sz w:val="24"/>
                <w:szCs w:val="24"/>
              </w:rPr>
            </w:pPr>
            <w:hyperlink r:id="rId26">
              <w:r w:rsidR="006F37EA" w:rsidRPr="006F37EA">
                <w:rPr>
                  <w:rFonts w:ascii="Times New Roman" w:hAnsi="Times New Roman" w:cs="Times New Roman"/>
                  <w:color w:val="0000FF"/>
                  <w:sz w:val="24"/>
                  <w:szCs w:val="24"/>
                </w:rPr>
                <w:t>Пункт 30</w:t>
              </w:r>
            </w:hyperlink>
            <w:r w:rsidR="006F37EA" w:rsidRPr="006F37EA">
              <w:rPr>
                <w:rFonts w:ascii="Times New Roman" w:hAnsi="Times New Roman" w:cs="Times New Roman"/>
                <w:sz w:val="24"/>
                <w:szCs w:val="24"/>
              </w:rPr>
              <w:t xml:space="preserve"> Порядка </w:t>
            </w:r>
            <w:r>
              <w:rPr>
                <w:rFonts w:ascii="Times New Roman" w:hAnsi="Times New Roman" w:cs="Times New Roman"/>
                <w:sz w:val="24"/>
                <w:szCs w:val="24"/>
              </w:rPr>
              <w:t>№</w:t>
            </w:r>
            <w:r w:rsidR="006F37EA" w:rsidRPr="006F37EA">
              <w:rPr>
                <w:rFonts w:ascii="Times New Roman" w:hAnsi="Times New Roman" w:cs="Times New Roman"/>
                <w:sz w:val="24"/>
                <w:szCs w:val="24"/>
              </w:rPr>
              <w:t xml:space="preserve"> 629</w:t>
            </w:r>
          </w:p>
        </w:tc>
        <w:tc>
          <w:tcPr>
            <w:tcW w:w="1814" w:type="dxa"/>
          </w:tcPr>
          <w:p w:rsidR="006F37EA" w:rsidRPr="006F37EA" w:rsidRDefault="006F37EA" w:rsidP="006F37EA">
            <w:pPr>
              <w:pStyle w:val="ConsPlusNormal"/>
              <w:rPr>
                <w:rFonts w:ascii="Times New Roman" w:hAnsi="Times New Roman" w:cs="Times New Roman"/>
                <w:sz w:val="24"/>
                <w:szCs w:val="24"/>
              </w:rPr>
            </w:pPr>
          </w:p>
        </w:tc>
        <w:tc>
          <w:tcPr>
            <w:tcW w:w="1418" w:type="dxa"/>
          </w:tcPr>
          <w:p w:rsidR="006F37EA" w:rsidRPr="006F37EA" w:rsidRDefault="006F37EA" w:rsidP="006F37EA">
            <w:pPr>
              <w:pStyle w:val="ConsPlusNormal"/>
              <w:rPr>
                <w:rFonts w:ascii="Times New Roman" w:hAnsi="Times New Roman" w:cs="Times New Roman"/>
                <w:sz w:val="24"/>
                <w:szCs w:val="24"/>
              </w:rPr>
            </w:pPr>
          </w:p>
        </w:tc>
      </w:tr>
    </w:tbl>
    <w:p w:rsidR="00A848AA" w:rsidRPr="006F37EA" w:rsidRDefault="00A848AA" w:rsidP="006F37EA">
      <w:pPr>
        <w:spacing w:after="0" w:line="240" w:lineRule="auto"/>
        <w:rPr>
          <w:rFonts w:ascii="Times New Roman" w:hAnsi="Times New Roman" w:cs="Times New Roman"/>
          <w:sz w:val="24"/>
          <w:szCs w:val="24"/>
        </w:rPr>
      </w:pPr>
    </w:p>
    <w:sectPr w:rsidR="00A848AA" w:rsidRPr="006F37EA" w:rsidSect="006F37E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0E"/>
    <w:rsid w:val="00011232"/>
    <w:rsid w:val="00237E0E"/>
    <w:rsid w:val="006F37EA"/>
    <w:rsid w:val="007D4427"/>
    <w:rsid w:val="00A848AA"/>
    <w:rsid w:val="00CE565C"/>
    <w:rsid w:val="00DC26C5"/>
    <w:rsid w:val="00E92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CA47D-50EA-4329-9406-6F95E051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7E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7D4427"/>
    <w:pPr>
      <w:spacing w:after="0" w:line="240" w:lineRule="auto"/>
    </w:pPr>
    <w:rPr>
      <w:rFonts w:ascii="Calibri" w:hAnsi="Calibri"/>
      <w:sz w:val="18"/>
      <w:szCs w:val="18"/>
    </w:rPr>
  </w:style>
  <w:style w:type="character" w:customStyle="1" w:styleId="a4">
    <w:name w:val="Текст выноски Знак"/>
    <w:basedOn w:val="a0"/>
    <w:link w:val="a3"/>
    <w:uiPriority w:val="99"/>
    <w:semiHidden/>
    <w:rsid w:val="007D4427"/>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27531&amp;dst=100040" TargetMode="External"/><Relationship Id="rId13" Type="http://schemas.openxmlformats.org/officeDocument/2006/relationships/hyperlink" Target="https://login.consultant.ru/link/?req=doc&amp;base=RZR&amp;n=427531&amp;dst=100067" TargetMode="External"/><Relationship Id="rId18" Type="http://schemas.openxmlformats.org/officeDocument/2006/relationships/hyperlink" Target="https://login.consultant.ru/link/?req=doc&amp;base=RZR&amp;n=427531&amp;dst=100085" TargetMode="External"/><Relationship Id="rId26" Type="http://schemas.openxmlformats.org/officeDocument/2006/relationships/hyperlink" Target="https://login.consultant.ru/link/?req=doc&amp;base=RZR&amp;n=427531&amp;dst=100148"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427531&amp;dst=100086" TargetMode="External"/><Relationship Id="rId7" Type="http://schemas.openxmlformats.org/officeDocument/2006/relationships/hyperlink" Target="https://login.consultant.ru/link/?req=doc&amp;base=RZR&amp;n=427531&amp;dst=100037" TargetMode="External"/><Relationship Id="rId12" Type="http://schemas.openxmlformats.org/officeDocument/2006/relationships/hyperlink" Target="https://login.consultant.ru/link/?req=doc&amp;base=RZR&amp;n=427531&amp;dst=100053" TargetMode="External"/><Relationship Id="rId17" Type="http://schemas.openxmlformats.org/officeDocument/2006/relationships/hyperlink" Target="https://login.consultant.ru/link/?req=doc&amp;base=RZR&amp;n=427531&amp;dst=100075" TargetMode="External"/><Relationship Id="rId25" Type="http://schemas.openxmlformats.org/officeDocument/2006/relationships/hyperlink" Target="https://login.consultant.ru/link/?req=doc&amp;base=RZR&amp;n=427531&amp;dst=100105" TargetMode="External"/><Relationship Id="rId2" Type="http://schemas.openxmlformats.org/officeDocument/2006/relationships/settings" Target="settings.xml"/><Relationship Id="rId16" Type="http://schemas.openxmlformats.org/officeDocument/2006/relationships/hyperlink" Target="https://login.consultant.ru/link/?req=doc&amp;base=RZR&amp;n=427531&amp;dst=100071" TargetMode="External"/><Relationship Id="rId20" Type="http://schemas.openxmlformats.org/officeDocument/2006/relationships/hyperlink" Target="https://login.consultant.ru/link/?req=doc&amp;base=RZR&amp;n=427531&amp;dst=100086" TargetMode="External"/><Relationship Id="rId1" Type="http://schemas.openxmlformats.org/officeDocument/2006/relationships/styles" Target="styles.xml"/><Relationship Id="rId6" Type="http://schemas.openxmlformats.org/officeDocument/2006/relationships/hyperlink" Target="https://login.consultant.ru/link/?req=doc&amp;base=RZR&amp;n=427531&amp;dst=100037" TargetMode="External"/><Relationship Id="rId11" Type="http://schemas.openxmlformats.org/officeDocument/2006/relationships/hyperlink" Target="https://login.consultant.ru/link/?req=doc&amp;base=RZR&amp;n=427531&amp;dst=100048" TargetMode="External"/><Relationship Id="rId24" Type="http://schemas.openxmlformats.org/officeDocument/2006/relationships/hyperlink" Target="https://login.consultant.ru/link/?req=doc&amp;base=RZR&amp;n=427531&amp;dst=100101" TargetMode="External"/><Relationship Id="rId5" Type="http://schemas.openxmlformats.org/officeDocument/2006/relationships/hyperlink" Target="https://login.consultant.ru/link/?req=doc&amp;base=RZR&amp;n=427531&amp;dst=100037" TargetMode="External"/><Relationship Id="rId15" Type="http://schemas.openxmlformats.org/officeDocument/2006/relationships/hyperlink" Target="https://login.consultant.ru/link/?req=doc&amp;base=RZR&amp;n=510818" TargetMode="External"/><Relationship Id="rId23" Type="http://schemas.openxmlformats.org/officeDocument/2006/relationships/hyperlink" Target="https://login.consultant.ru/link/?req=doc&amp;base=RZR&amp;n=427531&amp;dst=100094" TargetMode="External"/><Relationship Id="rId28" Type="http://schemas.openxmlformats.org/officeDocument/2006/relationships/theme" Target="theme/theme1.xml"/><Relationship Id="rId10" Type="http://schemas.openxmlformats.org/officeDocument/2006/relationships/hyperlink" Target="https://login.consultant.ru/link/?req=doc&amp;base=RZR&amp;n=427531&amp;dst=100048" TargetMode="External"/><Relationship Id="rId19" Type="http://schemas.openxmlformats.org/officeDocument/2006/relationships/hyperlink" Target="https://login.consultant.ru/link/?req=doc&amp;base=RZR&amp;n=427531&amp;dst=100086" TargetMode="External"/><Relationship Id="rId4" Type="http://schemas.openxmlformats.org/officeDocument/2006/relationships/hyperlink" Target="https://login.consultant.ru/link/?req=doc&amp;base=RZR&amp;n=427531&amp;dst=100037" TargetMode="External"/><Relationship Id="rId9" Type="http://schemas.openxmlformats.org/officeDocument/2006/relationships/hyperlink" Target="https://login.consultant.ru/link/?req=doc&amp;base=RZR&amp;n=427531&amp;dst=100045" TargetMode="External"/><Relationship Id="rId14" Type="http://schemas.openxmlformats.org/officeDocument/2006/relationships/hyperlink" Target="https://login.consultant.ru/link/?req=doc&amp;base=RZR&amp;n=427531&amp;dst=100070" TargetMode="External"/><Relationship Id="rId22" Type="http://schemas.openxmlformats.org/officeDocument/2006/relationships/hyperlink" Target="https://login.consultant.ru/link/?req=doc&amp;base=RZR&amp;n=427531&amp;dst=10010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2389</Words>
  <Characters>13619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Яна Валерьевна</dc:creator>
  <cp:keywords/>
  <dc:description/>
  <cp:lastModifiedBy>Александрова Яна Валерьевна</cp:lastModifiedBy>
  <cp:revision>3</cp:revision>
  <cp:lastPrinted>2026-02-10T08:48:00Z</cp:lastPrinted>
  <dcterms:created xsi:type="dcterms:W3CDTF">2026-02-10T09:07:00Z</dcterms:created>
  <dcterms:modified xsi:type="dcterms:W3CDTF">2026-02-10T12:49:00Z</dcterms:modified>
</cp:coreProperties>
</file>