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17.03.2025 N 212</w:t>
              <w:br/>
              <w:t xml:space="preserve">"Об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</w:t>
              <w:br/>
              <w:t xml:space="preserve">(Зарегистрировано в Минюсте России 08.04.2025 N 81774)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апреля 2025 г. N 81774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17 марта 2025 г. N 212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ВСТУПИТЕЛЬНЫХ ИСПЫТАНИЙ ПРИ ПРИЕМЕ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 ПО ПРОФЕССИЯМ И СПЕЦИАЛЬНОСТЯМ, ТРЕБУЮЩИМ</w:t>
      </w:r>
    </w:p>
    <w:p>
      <w:pPr>
        <w:pStyle w:val="2"/>
        <w:jc w:val="center"/>
      </w:pPr>
      <w:r>
        <w:rPr>
          <w:sz w:val="20"/>
        </w:rPr>
        <w:t xml:space="preserve">У ПОСТУПАЮЩИХ НАЛИЧИЯ ОПРЕДЕЛЕННЫХ ТВОРЧЕСКИХ СПОСОБНОСТЕЙ,</w:t>
      </w:r>
    </w:p>
    <w:p>
      <w:pPr>
        <w:pStyle w:val="2"/>
        <w:jc w:val="center"/>
      </w:pPr>
      <w:r>
        <w:rPr>
          <w:sz w:val="20"/>
        </w:rPr>
        <w:t xml:space="preserve">ФИЗИЧЕСКИХ И (ИЛИ) ПСИХОЛОГИЧЕСКИХ КАЧЕСТВ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8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4.2.23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обрнауки России от 30.12.2013 N 1422 &quot;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&quot; (Зарегистрировано в Минюсте России 28.01.2014 N 3113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30 декабря 2013 г. N 1422 "Об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 (зарегистрирован Министерством юстиции Российской Федерации 28 января 2014 г., регистрационный N 31132).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марта 2025 г. N 212</w:t>
      </w:r>
    </w:p>
    <w:p>
      <w:pPr>
        <w:pStyle w:val="0"/>
        <w:jc w:val="center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ВСТУПИТЕЛЬНЫХ ИСПЫТАНИЙ ПРИ ПРИЕМЕ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 ПО ПРОФЕССИЯМ И СПЕЦИАЛЬНОСТЯМ, ТРЕБУЮЩИМ</w:t>
      </w:r>
    </w:p>
    <w:p>
      <w:pPr>
        <w:pStyle w:val="2"/>
        <w:jc w:val="center"/>
      </w:pPr>
      <w:r>
        <w:rPr>
          <w:sz w:val="20"/>
        </w:rPr>
        <w:t xml:space="preserve">У ПОСТУПАЮЩИХ НАЛИЧИЯ ОПРЕДЕЛЕННЫХ ТВОРЧЕСКИХ СПОСОБНОСТЕЙ,</w:t>
      </w:r>
    </w:p>
    <w:p>
      <w:pPr>
        <w:pStyle w:val="2"/>
        <w:jc w:val="center"/>
      </w:pPr>
      <w:r>
        <w:rPr>
          <w:sz w:val="20"/>
        </w:rPr>
        <w:t xml:space="preserve">ФИЗИЧЕСКИХ И (ИЛИ) ПСИХОЛОГИЧЕСКИХ КАЧЕСТВ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Творческое испытание.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Физическое испытание.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Психологическое испытание.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17.03.2025 N 212</w:t>
            <w:br/>
            <w:t>"Об утверждении Перечня вступительных испытаний при приеме на обучение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791" TargetMode = "External"/><Relationship Id="rId9" Type="http://schemas.openxmlformats.org/officeDocument/2006/relationships/hyperlink" Target="https://login.consultant.ru/link/?req=doc&amp;base=RZR&amp;n=499281&amp;dst=9" TargetMode = "External"/><Relationship Id="rId10" Type="http://schemas.openxmlformats.org/officeDocument/2006/relationships/hyperlink" Target="https://login.consultant.ru/link/?req=doc&amp;base=RZR&amp;n=15834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212
"Об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
(Зарегистрировано в Минюсте России 08.04.2025 N 81774)</dc:title>
  <dcterms:created xsi:type="dcterms:W3CDTF">2026-03-03T14:04:09Z</dcterms:created>
</cp:coreProperties>
</file>