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31.07.2020 N 373</w:t>
              <w:br/>
              <w:t xml:space="preserve">(ред. от 25.10.2023)</w:t>
              <w:br/>
      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  <w:br/>
              <w:t xml:space="preserve">(Зарегистрировано в Минюсте России 31.08.2020 N 59599)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августа 2020 г. N 59599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июля 2020 г. N 373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</w:t>
      </w:r>
    </w:p>
    <w:p>
      <w:pPr>
        <w:pStyle w:val="2"/>
        <w:jc w:val="center"/>
      </w:pPr>
      <w:r>
        <w:rPr>
          <w:sz w:val="20"/>
        </w:rPr>
        <w:t xml:space="preserve">ДЕЯТЕЛЬНОСТИ ПО ОСНОВНЫМ ОБЩЕОБРАЗОВАТЕЛЬНЫМ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-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01.12.2022 </w:t>
            </w:r>
            <w:hyperlink w:history="0" r:id="rId7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      <w:r>
                <w:rPr>
                  <w:sz w:val="20"/>
                  <w:color w:val="0000ff"/>
                </w:rPr>
                <w:t xml:space="preserve">N 1048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25.10.2023 </w:t>
            </w:r>
            <w:hyperlink w:history="0" r:id="rId8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      <w:r>
                <w:rPr>
                  <w:sz w:val="20"/>
                  <w:color w:val="0000ff"/>
                </w:rPr>
                <w:t xml:space="preserve">N 783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11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------------ Недействующая редакция {КонсультантПлюс}">
        <w:r>
          <w:rPr>
            <w:sz w:val="20"/>
            <w:color w:val="0000ff"/>
          </w:rPr>
          <w:t xml:space="preserve">подпунктом 4.2.5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обрнауки России от 30.08.2013 N 1014 (ред. от 21.01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6.09.2013 N 3003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просвещения России от 21.01.2019 N 32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&quot; (Зарегистрировано в Минюсте России 25.03.2019 N 5415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2021 года и действует до 1 сентября 2026 года.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3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25.10.2023 N 783)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июля 2020 г. N 373</w:t>
      </w:r>
    </w:p>
    <w:p>
      <w:pPr>
        <w:pStyle w:val="0"/>
        <w:jc w:val="right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</w:t>
      </w:r>
    </w:p>
    <w:p>
      <w:pPr>
        <w:pStyle w:val="2"/>
        <w:jc w:val="center"/>
      </w:pPr>
      <w:r>
        <w:rPr>
          <w:sz w:val="20"/>
        </w:rPr>
        <w:t xml:space="preserve">ДЕЯТЕЛЬНОСТИ ПО ОСНОВНЫМ ОБЩЕОБРАЗОВАТЕЛЬНЫМ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-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01.12.2022 </w:t>
            </w:r>
            <w:hyperlink w:history="0" r:id="rId14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      <w:r>
                <w:rPr>
                  <w:sz w:val="20"/>
                  <w:color w:val="0000ff"/>
                </w:rPr>
                <w:t xml:space="preserve">N 1048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25.10.2023 </w:t>
            </w:r>
            <w:hyperlink w:history="0" r:id="rId15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      <w:r>
                <w:rPr>
                  <w:sz w:val="20"/>
                  <w:color w:val="0000ff"/>
                </w:rPr>
                <w:t xml:space="preserve">N 783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и осуществления образовательной деятельности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а также особенности организации образовательной деятельности для обучающихся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25.10.2023 N 783)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а также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25.10.2023 N 783)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и осуществление</w:t>
      </w:r>
    </w:p>
    <w:p>
      <w:pPr>
        <w:pStyle w:val="2"/>
        <w:jc w:val="center"/>
      </w:pPr>
      <w:r>
        <w:rPr>
          <w:sz w:val="20"/>
        </w:rPr>
        <w:t xml:space="preserve">образовательной деятельности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4 статьи 63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муниципального округа или городского округа, на территории которых они проживают &lt;2&gt;.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25.10.2023 N 783)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0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5 статьи 63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Содержание дошкольного образования определяется образовательной программой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2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5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</w:t>
      </w:r>
      <w:hyperlink w:history="0" r:id="rId2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дошкольного образования и соответствующей федеральной образовательной </w:t>
      </w:r>
      <w:hyperlink w:history="0" r:id="rId24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01.12.2022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27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N 373&quot; (Зарегистрировано в Минюсте России 12.01.2023 N 719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01.12.2022 N 1048)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8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5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9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64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могут иметь общеразвивающую, компенсирующую, оздоровительную или комбинированную направленность.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общеразвивающей направленности осуществляется реализация образовательной программы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образовательной организации могут быть организованы также: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кочевые дошкольные группы с целью удовлетворения потребности в дошкольном образовании детей, относящихся к коренным малочисленным народам Севера, Сибири и Дальнего Востока Российской Федерации, ведущих с родителями (законными представителями) кочевой и (или) полукочевой образ жизни, в местах их традиционного проживания и традиционной хозяйственной деятельности. Кочевые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кочевых дошкольных групп осуществляется непосредственно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ведущих кочевой и (или) полукочевой образ жизни. Материально-техническое и учебно-методическое обеспечение образовательной деятельности кочевых дошкольных групп осуществляется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группы могут включаться как воспитанники одного возраста, так и воспитанники разных возрастов (разновозрастные группы).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30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25.10.2023 N 783)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 дошкольного образования реализуются в группах, функционирующих в режиме не менее 3 часов в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функционирования кочевых дошкольных групп определяется исходя из особенностей жизнедеятельности и потребностей коренных малочисленных народов Севера, Сибири и Дальнего Востока Российской Федерации, ведущих кочевой и (или) полукочевой образ жизни.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3.11.2023 N 7608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25.10.2023 N 783)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32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3 статьи 64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Особенности организации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для лиц с ограниченными возможностями здоровья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33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------------ Утратил силу или отменен {КонсультантПлюс}">
        <w:r>
          <w:rPr>
            <w:sz w:val="20"/>
            <w:color w:val="0000ff"/>
          </w:rPr>
          <w:t xml:space="preserve">Пункт 21</w:t>
        </w:r>
      </w:hyperlink>
      <w:r>
        <w:rPr>
          <w:sz w:val="20"/>
        </w:rP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34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79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35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3 статьи 79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детей с ограниченными возможностями здоровья по зрению: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присутствие ассистента, оказывающего ребенку необходимую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выпуска альтернативных форматов печатных материалов (крупный шрифт) или аудиофайлов;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детей с ограниченными возможностями здоровья по слуху: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надлежащими звуковыми средствами воспроизведения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3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4 статьи 79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Количество детей в группах компенсирующей направленности не должно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тяжелыми нарушениями речи - 6 детей в возрасте до 3 лет и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фонетико-фонематическими нарушениями речи - 12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глухих детей - 6 детей для обеих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слабослышащих детей - 6 детей в возрасте до 3 лет и 8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слепых детей - 6 детей для обеих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слабовидящих детей - 6 детей в возрасте до 3 лет и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амблиопией, косоглазием - 6 детей в возрасте до 3 лет и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опорно-двигательного аппарата - 6 детей в возрасте до 3 лет и 8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психоречевого развития - 6 детей в возрасте до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психического развития - 10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легкой степени - 10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умеренной, тяжелой степени - 8 детей в возрасте старше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расстройствами аутистического спектра - 5 детей для обеих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со сложными дефектами (тяжелыми и множественными нарушениями развития) - 5 детей для обеих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детей в группах комбинированной направленности не должно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до 3 лет - не более 10 детей, в том числе не более 3 детей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старше 3 лет: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тяжелыми нарушениями речи - не менее 1 штатной единицы учителя-логопеда, не менее 0,5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учителя-логопеда на каждые 5 - 12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педагога-психолога на каждые 20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тьютора на каждые 1 - 5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ассистента (помощника) на каждые 1 - 5 обучающихся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3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5 статьи 41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38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41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31.07.2020 N 373</w:t>
            <w:br/>
            <w:t>(ред. от 25.10.2023)</w:t>
            <w:br/>
            <w:t>"Об утверждении Порядка организации и осуществлени...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37323&amp;dst=100006" TargetMode = "External"/>
	<Relationship Id="rId8" Type="http://schemas.openxmlformats.org/officeDocument/2006/relationships/hyperlink" Target="https://login.consultant.ru/link/?req=doc&amp;base=RZR&amp;n=462714&amp;dst=100006" TargetMode = "External"/>
	<Relationship Id="rId9" Type="http://schemas.openxmlformats.org/officeDocument/2006/relationships/hyperlink" Target="https://login.consultant.ru/link/?req=doc&amp;base=RZR&amp;n=494980&amp;dst=215" TargetMode = "External"/>
	<Relationship Id="rId10" Type="http://schemas.openxmlformats.org/officeDocument/2006/relationships/hyperlink" Target="https://login.consultant.ru/link/?req=doc&amp;base=RZR&amp;n=488562&amp;dst=100026" TargetMode = "External"/>
	<Relationship Id="rId11" Type="http://schemas.openxmlformats.org/officeDocument/2006/relationships/hyperlink" Target="https://login.consultant.ru/link/?req=doc&amp;base=RZR&amp;n=321064" TargetMode = "External"/>
	<Relationship Id="rId12" Type="http://schemas.openxmlformats.org/officeDocument/2006/relationships/hyperlink" Target="https://login.consultant.ru/link/?req=doc&amp;base=RZR&amp;n=321014" TargetMode = "External"/>
	<Relationship Id="rId13" Type="http://schemas.openxmlformats.org/officeDocument/2006/relationships/hyperlink" Target="https://login.consultant.ru/link/?req=doc&amp;base=RZR&amp;n=462714&amp;dst=100011" TargetMode = "External"/>
	<Relationship Id="rId14" Type="http://schemas.openxmlformats.org/officeDocument/2006/relationships/hyperlink" Target="https://login.consultant.ru/link/?req=doc&amp;base=RZR&amp;n=437323&amp;dst=100006" TargetMode = "External"/>
	<Relationship Id="rId15" Type="http://schemas.openxmlformats.org/officeDocument/2006/relationships/hyperlink" Target="https://login.consultant.ru/link/?req=doc&amp;base=RZR&amp;n=462714&amp;dst=100013" TargetMode = "External"/>
	<Relationship Id="rId16" Type="http://schemas.openxmlformats.org/officeDocument/2006/relationships/hyperlink" Target="https://login.consultant.ru/link/?req=doc&amp;base=RZR&amp;n=462714&amp;dst=100014" TargetMode = "External"/>
	<Relationship Id="rId17" Type="http://schemas.openxmlformats.org/officeDocument/2006/relationships/hyperlink" Target="https://login.consultant.ru/link/?req=doc&amp;base=RZR&amp;n=462714&amp;dst=100015" TargetMode = "External"/>
	<Relationship Id="rId18" Type="http://schemas.openxmlformats.org/officeDocument/2006/relationships/hyperlink" Target="https://login.consultant.ru/link/?req=doc&amp;base=RZR&amp;n=494980&amp;dst=100871" TargetMode = "External"/>
	<Relationship Id="rId19" Type="http://schemas.openxmlformats.org/officeDocument/2006/relationships/hyperlink" Target="https://login.consultant.ru/link/?req=doc&amp;base=RZR&amp;n=462714&amp;dst=100016" TargetMode = "External"/>
	<Relationship Id="rId20" Type="http://schemas.openxmlformats.org/officeDocument/2006/relationships/hyperlink" Target="https://login.consultant.ru/link/?req=doc&amp;base=RZR&amp;n=494980&amp;dst=100872" TargetMode = "External"/>
	<Relationship Id="rId21" Type="http://schemas.openxmlformats.org/officeDocument/2006/relationships/hyperlink" Target="https://login.consultant.ru/link/?req=doc&amp;base=RZR&amp;n=494980&amp;dst=364" TargetMode = "External"/>
	<Relationship Id="rId22" Type="http://schemas.openxmlformats.org/officeDocument/2006/relationships/hyperlink" Target="https://login.consultant.ru/link/?req=doc&amp;base=RZR&amp;n=494980&amp;dst=100226" TargetMode = "External"/>
	<Relationship Id="rId23" Type="http://schemas.openxmlformats.org/officeDocument/2006/relationships/hyperlink" Target="https://login.consultant.ru/link/?req=doc&amp;base=RZR&amp;n=439313&amp;dst=100014" TargetMode = "External"/>
	<Relationship Id="rId24" Type="http://schemas.openxmlformats.org/officeDocument/2006/relationships/hyperlink" Target="https://login.consultant.ru/link/?req=doc&amp;base=RZR&amp;n=435832&amp;dst=100010" TargetMode = "External"/>
	<Relationship Id="rId25" Type="http://schemas.openxmlformats.org/officeDocument/2006/relationships/hyperlink" Target="https://login.consultant.ru/link/?req=doc&amp;base=RZR&amp;n=437323&amp;dst=100011" TargetMode = "External"/>
	<Relationship Id="rId26" Type="http://schemas.openxmlformats.org/officeDocument/2006/relationships/hyperlink" Target="https://login.consultant.ru/link/?req=doc&amp;base=RZR&amp;n=494980&amp;dst=744" TargetMode = "External"/>
	<Relationship Id="rId27" Type="http://schemas.openxmlformats.org/officeDocument/2006/relationships/hyperlink" Target="https://login.consultant.ru/link/?req=doc&amp;base=RZR&amp;n=437323&amp;dst=100013" TargetMode = "External"/>
	<Relationship Id="rId28" Type="http://schemas.openxmlformats.org/officeDocument/2006/relationships/hyperlink" Target="https://login.consultant.ru/link/?req=doc&amp;base=RZR&amp;n=494980&amp;dst=100254" TargetMode = "External"/>
	<Relationship Id="rId29" Type="http://schemas.openxmlformats.org/officeDocument/2006/relationships/hyperlink" Target="https://login.consultant.ru/link/?req=doc&amp;base=RZR&amp;n=494980&amp;dst=100875" TargetMode = "External"/>
	<Relationship Id="rId30" Type="http://schemas.openxmlformats.org/officeDocument/2006/relationships/hyperlink" Target="https://login.consultant.ru/link/?req=doc&amp;base=RZR&amp;n=462714&amp;dst=100017" TargetMode = "External"/>
	<Relationship Id="rId31" Type="http://schemas.openxmlformats.org/officeDocument/2006/relationships/hyperlink" Target="https://login.consultant.ru/link/?req=doc&amp;base=RZR&amp;n=462714&amp;dst=100031" TargetMode = "External"/>
	<Relationship Id="rId32" Type="http://schemas.openxmlformats.org/officeDocument/2006/relationships/hyperlink" Target="https://login.consultant.ru/link/?req=doc&amp;base=RZR&amp;n=494980&amp;dst=100876" TargetMode = "External"/>
	<Relationship Id="rId33" Type="http://schemas.openxmlformats.org/officeDocument/2006/relationships/hyperlink" Target="https://login.consultant.ru/link/?req=doc&amp;base=RZR&amp;n=153650&amp;dst=100067" TargetMode = "External"/>
	<Relationship Id="rId34" Type="http://schemas.openxmlformats.org/officeDocument/2006/relationships/hyperlink" Target="https://login.consultant.ru/link/?req=doc&amp;base=RZR&amp;n=494980&amp;dst=101039" TargetMode = "External"/>
	<Relationship Id="rId35" Type="http://schemas.openxmlformats.org/officeDocument/2006/relationships/hyperlink" Target="https://login.consultant.ru/link/?req=doc&amp;base=RZR&amp;n=494980&amp;dst=101040" TargetMode = "External"/>
	<Relationship Id="rId36" Type="http://schemas.openxmlformats.org/officeDocument/2006/relationships/hyperlink" Target="https://login.consultant.ru/link/?req=doc&amp;base=RZR&amp;n=494980&amp;dst=101041" TargetMode = "External"/>
	<Relationship Id="rId37" Type="http://schemas.openxmlformats.org/officeDocument/2006/relationships/hyperlink" Target="https://login.consultant.ru/link/?req=doc&amp;base=RZR&amp;n=494980&amp;dst=100586" TargetMode = "External"/>
	<Relationship Id="rId38" Type="http://schemas.openxmlformats.org/officeDocument/2006/relationships/hyperlink" Target="https://login.consultant.ru/link/?req=doc&amp;base=RZR&amp;n=494980&amp;dst=10058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31.07.2020 N 373
(ред. от 25.10.2023)
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
(Зарегистрировано в Минюсте России 31.08.2020 N 59599)</dc:title>
  <dcterms:created xsi:type="dcterms:W3CDTF">2025-03-03T14:30:59Z</dcterms:created>
</cp:coreProperties>
</file>