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02.03.2022 N 03-264</w:t>
              <w:br/>
              <w:t xml:space="preserve">"О направлении разъяснений"</w:t>
              <w:br/>
              <w:t xml:space="preserve">(вместе с "Разъяснениями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 И УПРАВЛЕНИЯ В СФЕРЕ</w:t>
      </w:r>
    </w:p>
    <w:p>
      <w:pPr>
        <w:pStyle w:val="2"/>
        <w:jc w:val="center"/>
      </w:pPr>
      <w:r>
        <w:rPr>
          <w:sz w:val="20"/>
        </w:rPr>
        <w:t xml:space="preserve">ОБЩЕГО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 марта 2022 г. N 03-264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РАЗЪЯСНЕНИЙ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со вступлением в силу 1 марта 2022 г. </w:t>
      </w:r>
      <w:hyperlink w:history="0" r:id="rId7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4 октября 2021 г. N 686 "О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11 ноября 2021 г., регистрационный N 65757) Департамент государственной политики и управления в сфере общего образования Минпросвещения России (далее - Департамент) направляет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 (далее - разъяснения).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просит довести указанные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М.А.КОСТЕНКО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РАЗЪЯСНЕНИЯ</w:t>
      </w:r>
    </w:p>
    <w:p>
      <w:pPr>
        <w:pStyle w:val="2"/>
        <w:jc w:val="center"/>
      </w:pPr>
      <w:r>
        <w:rPr>
          <w:sz w:val="20"/>
        </w:rPr>
        <w:t xml:space="preserve">ПО ВОПРОСУ ПОРЯДКА ПРИЕМА В ОРГАНИЗАЦИИ, ОСУЩЕСТВЛЯЮЩИЕ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ОБРАЗОВАНИЯ, В ЧАСТИ ОПРЕДЕЛЕНИЯ СОСТОЯНИЯ</w:t>
      </w:r>
    </w:p>
    <w:p>
      <w:pPr>
        <w:pStyle w:val="2"/>
        <w:jc w:val="center"/>
      </w:pPr>
      <w:r>
        <w:rPr>
          <w:sz w:val="20"/>
        </w:rPr>
        <w:t xml:space="preserve">ЗДОРОВЬЯ, РАСПРЕДЕЛЕНИЯ НАГРУЗКИ И УЧЕТА ИНДИВИДУАЛЬНЫХ</w:t>
      </w:r>
    </w:p>
    <w:p>
      <w:pPr>
        <w:pStyle w:val="2"/>
        <w:jc w:val="center"/>
      </w:pPr>
      <w:r>
        <w:rPr>
          <w:sz w:val="20"/>
        </w:rPr>
        <w:t xml:space="preserve">ОСОБЕННОСТЕЙ ДЕТЕЙ ВВИДУ ОТСУТСТВИЯ НЕОБХОДИМОСТИ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МЕДИЦИНСКОГО ЗАКЛЮЧЕНИЯ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4 октября 2021 г. N 686 внесены изменения в приказы Минпросвещения России от 15 мая 2020 г. </w:t>
      </w:r>
      <w:hyperlink w:history="0" r:id="rId9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N 236</w:t>
        </w:r>
      </w:hyperlink>
      <w:r>
        <w:rPr>
          <w:sz w:val="20"/>
        </w:rPr>
        <w:t xml:space="preserve"> "Об утверждении Порядка приема на обучение по образовательным программам дошкольного образования" (далее - Порядок N 236) и от 8 сентября 2020 г. </w:t>
      </w:r>
      <w:hyperlink w:history="0" r:id="rId10" w:tooltip="Приказ Минпросвещения России от 08.09.2020 N 471 (ред. от 04.10.2021)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30.09.2020 N 60136)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в Минюсте России 11 ноября 2021 г., регистрационный N 65757) (далее - Приказ N 686).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1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N 686 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Учитывая, что согласно </w:t>
      </w:r>
      <w:hyperlink w:history="0" r:id="rId12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пункту 11</w:t>
        </w:r>
      </w:hyperlink>
      <w:r>
        <w:rPr>
          <w:sz w:val="20"/>
        </w:rPr>
        <w:t xml:space="preserve"> Порядка N 236 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 </w:t>
      </w:r>
      <w:hyperlink w:history="0" r:id="rId13" w:tooltip="Приказ Минпросвещения России от 04.10.2021 N 686 &quot;О внесении изменений в приказы Министерства просвещения Российской Федерации от 15 мая 2020 г. N 236 &quot;Об утверждении Порядка приема на обучение по образовательным программам дошкольного образования&quot; и от 8 сентября 2020 г. N 471 &quot;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&quot; (Зарегистрировано в Минюсте Росси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N 686) родители (законные представители) детей вправе не предоставлять медицинское заключение для приема детей в ДОО.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(</w:t>
      </w:r>
      <w:hyperlink w:history="0" r:id="rId14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, </w:t>
      </w:r>
      <w:hyperlink w:history="0" r:id="rId1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2 части 4 статьи 41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Закон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41</w:t>
        </w:r>
      </w:hyperlink>
      <w:r>
        <w:rPr>
          <w:sz w:val="20"/>
        </w:rPr>
        <w:t xml:space="preserve"> Закона об образовании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 и продолжительности каникул; организацию и создание условий для профилактики заболеваний и оздоровления обучающихся, для занятия ими 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силу </w:t>
      </w:r>
      <w:hyperlink w:history="0" r:id="rId1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пункта 3 части 4 статьи 41</w:t>
        </w:r>
      </w:hyperlink>
      <w:r>
        <w:rPr>
          <w:sz w:val="20"/>
        </w:rPr>
        <w:t xml:space="preserve">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</w:t>
      </w:r>
      <w:hyperlink w:history="0" r:id="rId1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41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3 статьи 41</w:t>
        </w:r>
      </w:hyperlink>
      <w:r>
        <w:rPr>
          <w:sz w:val="20"/>
        </w:rPr>
        <w:t xml:space="preserve"> Закона об образовании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Правовые основы обеспечения санитарно-эпидемиологического благополучия населения закреплены в Федеральном </w:t>
      </w:r>
      <w:hyperlink w:history="0" r:id="rId20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(далее - Федеральный закон N 52-ФЗ).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силу </w:t>
      </w:r>
      <w:hyperlink w:history="0" r:id="rId21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N 52-ФЗ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санитарных правил является обязательным для граждан, индивидуальных предпринимателей и юридических лиц (</w:t>
      </w:r>
      <w:hyperlink w:history="0" r:id="rId22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sz w:val="20"/>
            <w:color w:val="0000ff"/>
          </w:rPr>
          <w:t xml:space="preserve">пункт 3 статьи 39</w:t>
        </w:r>
      </w:hyperlink>
      <w:r>
        <w:rPr>
          <w:sz w:val="20"/>
        </w:rPr>
        <w:t xml:space="preserve"> Федерального закона N 52-ФЗ).</w:t>
      </w:r>
    </w:p>
    <w:p>
      <w:pPr>
        <w:pStyle w:val="0"/>
        <w:spacing w:before="200" w:line-rule="auto"/>
        <w:ind w:firstLine="540"/>
        <w:jc w:val="both"/>
      </w:pPr>
      <w:hyperlink w:history="0" r:id="rId23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sz w:val="20"/>
            <w:color w:val="0000ff"/>
          </w:rPr>
          <w:t xml:space="preserve">Пунктом 1 статьи 28</w:t>
        </w:r>
      </w:hyperlink>
      <w:r>
        <w:rPr>
          <w:sz w:val="20"/>
        </w:rPr>
        <w:t xml:space="preserve"> Федерального закона N 52-ФЗ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</w:t>
      </w:r>
      <w:hyperlink w:history="0" r:id="rId24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профилактических медицинских осмотров несовершеннолетних, утвержденным приказом Минздрава России от 10 августа 2017 г. N 514н (зарегистрирован в Минюсте России 18 августа 2017 г., регистрационный N 47855) (далее - Порядок N 514н). Согласно </w:t>
      </w:r>
      <w:hyperlink w:history="0" r:id="rId25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пункту 2</w:t>
        </w:r>
      </w:hyperlink>
      <w:r>
        <w:rPr>
          <w:sz w:val="20"/>
        </w:rPr>
        <w:t xml:space="preserve"> Порядка N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</w:t>
      </w:r>
      <w:hyperlink w:history="0" r:id="rId26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комплексной оценки состояния здоровья несовершеннолетних, предусмотренными приложением N 2 к Порядку, и медицинскую группу для занятий физической культурой в соответствии с </w:t>
      </w:r>
      <w:hyperlink w:history="0" r:id="rId2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определения медицинских групп для занятий несовершеннолетними физической культурой, предусмотренными приложением N 3 к Порядку N 514н,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</w:t>
      </w:r>
      <w:hyperlink w:history="0" r:id="rId28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пункт 22</w:t>
        </w:r>
      </w:hyperlink>
      <w:r>
        <w:rPr>
          <w:sz w:val="20"/>
        </w:rPr>
        <w:t xml:space="preserve"> Порядка N 514н).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отмечаем, что Минздравом России разработан проект приказа "Об утверждении учетной формы медицинской документации "Медицинская карта несовершеннолетнего для образовательных организаций" и порядка ее ведения" </w:t>
      </w:r>
      <w:hyperlink w:history="0" r:id="rId29" w:tooltip="Приказ Минздрава РФ от 03.07.2000 N 241 &quot;Об утверждении &quot;Медицинской карты ребенка для образовательных учреждений&quot; (вместе с &quot;Инструкцией о порядке ведения учетной формы N 026/у-2000 &quot;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&quot;) {КонсультантПлюс}">
        <w:r>
          <w:rPr>
            <w:sz w:val="20"/>
            <w:color w:val="0000ff"/>
          </w:rPr>
          <w:t xml:space="preserve">(Учетная форма N 026/у)</w:t>
        </w:r>
      </w:hyperlink>
      <w:r>
        <w:rPr>
          <w:sz w:val="20"/>
        </w:rPr>
        <w:t xml:space="preserve">, включающий в себя сведения по итогам проведенных ежегодных профилактических медицинских осмотров (диспансеризации) без привязки к моменту поступления в образовательные организации.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имеются в виду положения п. 9 Порядка N 236.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Обращаем внимание, что в соответствии с пунктом </w:t>
      </w:r>
      <w:hyperlink w:history="0" r:id="rId30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N 236 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 </w:t>
      </w:r>
      <w:hyperlink w:history="0" r:id="rId31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------------ Утратил силу или отменен {КонсультантПлюс}">
        <w:r>
          <w:rPr>
            <w:sz w:val="20"/>
            <w:color w:val="0000ff"/>
          </w:rPr>
          <w:t xml:space="preserve">пункту 21</w:t>
        </w:r>
      </w:hyperlink>
      <w:r>
        <w:rPr>
          <w:sz w:val="20"/>
        </w:rPr>
        <w:t xml:space="preserve"> Положения о психолого-медико-педагогической комиссии, утвержденного приказом Минобрнауки России от 20 сентября 2013 г. N 1082 (зарегистрирован в Минюсте России 23 октября 2013 г., регистрационный N 30242).</w:t>
      </w:r>
    </w:p>
    <w:p>
      <w:pPr>
        <w:pStyle w:val="0"/>
        <w:spacing w:before="200" w:line-rule="auto"/>
        <w:ind w:firstLine="540"/>
        <w:jc w:val="both"/>
      </w:pPr>
      <w:hyperlink w:history="0" r:id="rId3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53</w:t>
        </w:r>
      </w:hyperlink>
      <w:r>
        <w:rPr>
          <w:sz w:val="20"/>
        </w:rPr>
        <w:t xml:space="preserve">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</w:t>
      </w:r>
      <w:hyperlink w:history="0" r:id="rId33" w:tooltip="Приказ Минобрнауки России от 13.01.2014 N 8 (ред. от 18.04.2024) &quot;Об утверждении примерной формы договора об образовании по образовательным программам дошкольного образования&quot; (Зарегистрировано в Минюсте России 27.03.2014 N 31757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которого утверждена приказом Минобрнауки России от 13 января 2014 г. N 8 (далее - примерная форма 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4" w:tooltip="Приказ Минобрнауки России от 13.01.2014 N 8 (ред. от 18.04.2024) &quot;Об утверждении примерной формы договора об образовании по образовательным программам дошкольного образования&quot; (Зарегистрировано в Минюсте России 27.03.2014 N 31757) {КонсультантПлюс}">
        <w:r>
          <w:rPr>
            <w:sz w:val="20"/>
            <w:color w:val="0000ff"/>
          </w:rPr>
          <w:t xml:space="preserve">пунктами 2.3.5</w:t>
        </w:r>
      </w:hyperlink>
      <w:r>
        <w:rPr>
          <w:sz w:val="20"/>
        </w:rPr>
        <w:t xml:space="preserve">, </w:t>
      </w:r>
      <w:hyperlink w:history="0" r:id="rId35" w:tooltip="Приказ Минобрнауки России от 13.01.2014 N 8 (ред. от 18.04.2024) &quot;Об утверждении примерной формы договора об образовании по образовательным программам дошкольного образования&quot; (Зарегистрировано в Минюсте России 27.03.2014 N 31757) {КонсультантПлюс}">
        <w:r>
          <w:rPr>
            <w:sz w:val="20"/>
            <w:color w:val="0000ff"/>
          </w:rPr>
          <w:t xml:space="preserve">2.3.7</w:t>
        </w:r>
      </w:hyperlink>
      <w:r>
        <w:rPr>
          <w:sz w:val="20"/>
        </w:rPr>
        <w:t xml:space="preserve"> примерной формы договора 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права и обязанности ДОО по созданию соответствующих условий могут быть прописаны в договоре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02.03.2022 N 03-264</w:t>
            <w:br/>
            <w:t>"О направлении разъяснений"</w:t>
            <w:br/>
            <w:t>(вместе с "Разъяснениями по вопросу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00264" TargetMode = "External"/>
	<Relationship Id="rId8" Type="http://schemas.openxmlformats.org/officeDocument/2006/relationships/hyperlink" Target="https://login.consultant.ru/link/?req=doc&amp;base=RZR&amp;n=400264" TargetMode = "External"/>
	<Relationship Id="rId9" Type="http://schemas.openxmlformats.org/officeDocument/2006/relationships/hyperlink" Target="https://login.consultant.ru/link/?req=doc&amp;base=RZR&amp;n=460098&amp;dst=100013" TargetMode = "External"/>
	<Relationship Id="rId10" Type="http://schemas.openxmlformats.org/officeDocument/2006/relationships/hyperlink" Target="https://login.consultant.ru/link/?req=doc&amp;base=RZR&amp;n=400288" TargetMode = "External"/>
	<Relationship Id="rId11" Type="http://schemas.openxmlformats.org/officeDocument/2006/relationships/hyperlink" Target="https://login.consultant.ru/link/?req=doc&amp;base=RZR&amp;n=400264" TargetMode = "External"/>
	<Relationship Id="rId12" Type="http://schemas.openxmlformats.org/officeDocument/2006/relationships/hyperlink" Target="https://login.consultant.ru/link/?req=doc&amp;base=RZR&amp;n=460098&amp;dst=100086" TargetMode = "External"/>
	<Relationship Id="rId13" Type="http://schemas.openxmlformats.org/officeDocument/2006/relationships/hyperlink" Target="https://login.consultant.ru/link/?req=doc&amp;base=RZR&amp;n=400264&amp;dst=100007" TargetMode = "External"/>
	<Relationship Id="rId14" Type="http://schemas.openxmlformats.org/officeDocument/2006/relationships/hyperlink" Target="https://login.consultant.ru/link/?req=doc&amp;base=RZR&amp;n=494980&amp;dst=103" TargetMode = "External"/>
	<Relationship Id="rId15" Type="http://schemas.openxmlformats.org/officeDocument/2006/relationships/hyperlink" Target="https://login.consultant.ru/link/?req=doc&amp;base=RZR&amp;n=494980&amp;dst=100583" TargetMode = "External"/>
	<Relationship Id="rId16" Type="http://schemas.openxmlformats.org/officeDocument/2006/relationships/hyperlink" Target="https://login.consultant.ru/link/?req=doc&amp;base=RZR&amp;n=494980&amp;dst=100568" TargetMode = "External"/>
	<Relationship Id="rId17" Type="http://schemas.openxmlformats.org/officeDocument/2006/relationships/hyperlink" Target="https://login.consultant.ru/link/?req=doc&amp;base=RZR&amp;n=494980&amp;dst=100584" TargetMode = "External"/>
	<Relationship Id="rId18" Type="http://schemas.openxmlformats.org/officeDocument/2006/relationships/hyperlink" Target="https://login.consultant.ru/link/?req=doc&amp;base=RZR&amp;n=494980&amp;dst=101663" TargetMode = "External"/>
	<Relationship Id="rId19" Type="http://schemas.openxmlformats.org/officeDocument/2006/relationships/hyperlink" Target="https://login.consultant.ru/link/?req=doc&amp;base=RZR&amp;n=494980&amp;dst=102" TargetMode = "External"/>
	<Relationship Id="rId20" Type="http://schemas.openxmlformats.org/officeDocument/2006/relationships/hyperlink" Target="https://login.consultant.ru/link/?req=doc&amp;base=RZR&amp;n=494620" TargetMode = "External"/>
	<Relationship Id="rId21" Type="http://schemas.openxmlformats.org/officeDocument/2006/relationships/hyperlink" Target="https://login.consultant.ru/link/?req=doc&amp;base=RZR&amp;n=494620&amp;dst=195" TargetMode = "External"/>
	<Relationship Id="rId22" Type="http://schemas.openxmlformats.org/officeDocument/2006/relationships/hyperlink" Target="https://login.consultant.ru/link/?req=doc&amp;base=RZR&amp;n=494620&amp;dst=100249" TargetMode = "External"/>
	<Relationship Id="rId23" Type="http://schemas.openxmlformats.org/officeDocument/2006/relationships/hyperlink" Target="https://login.consultant.ru/link/?req=doc&amp;base=RZR&amp;n=494620&amp;dst=232" TargetMode = "External"/>
	<Relationship Id="rId24" Type="http://schemas.openxmlformats.org/officeDocument/2006/relationships/hyperlink" Target="https://login.consultant.ru/link/?req=doc&amp;base=RZR&amp;n=370075&amp;dst=100016" TargetMode = "External"/>
	<Relationship Id="rId25" Type="http://schemas.openxmlformats.org/officeDocument/2006/relationships/hyperlink" Target="https://login.consultant.ru/link/?req=doc&amp;base=RZR&amp;n=370075&amp;dst=100018" TargetMode = "External"/>
	<Relationship Id="rId26" Type="http://schemas.openxmlformats.org/officeDocument/2006/relationships/hyperlink" Target="https://login.consultant.ru/link/?req=doc&amp;base=RZR&amp;n=370075&amp;dst=100190" TargetMode = "External"/>
	<Relationship Id="rId27" Type="http://schemas.openxmlformats.org/officeDocument/2006/relationships/hyperlink" Target="https://login.consultant.ru/link/?req=doc&amp;base=RZR&amp;n=370075&amp;dst=100215" TargetMode = "External"/>
	<Relationship Id="rId28" Type="http://schemas.openxmlformats.org/officeDocument/2006/relationships/hyperlink" Target="https://login.consultant.ru/link/?req=doc&amp;base=RZR&amp;n=370075&amp;dst=100067" TargetMode = "External"/>
	<Relationship Id="rId29" Type="http://schemas.openxmlformats.org/officeDocument/2006/relationships/hyperlink" Target="https://login.consultant.ru/link/?req=doc&amp;base=RZR&amp;n=86525&amp;dst=100023" TargetMode = "External"/>
	<Relationship Id="rId30" Type="http://schemas.openxmlformats.org/officeDocument/2006/relationships/hyperlink" Target="https://login.consultant.ru/link/?req=doc&amp;base=RZR&amp;n=460098&amp;dst=100079" TargetMode = "External"/>
	<Relationship Id="rId31" Type="http://schemas.openxmlformats.org/officeDocument/2006/relationships/hyperlink" Target="https://login.consultant.ru/link/?req=doc&amp;base=RZR&amp;n=153650&amp;dst=100067" TargetMode = "External"/>
	<Relationship Id="rId32" Type="http://schemas.openxmlformats.org/officeDocument/2006/relationships/hyperlink" Target="https://login.consultant.ru/link/?req=doc&amp;base=RZR&amp;n=494980&amp;dst=100737" TargetMode = "External"/>
	<Relationship Id="rId33" Type="http://schemas.openxmlformats.org/officeDocument/2006/relationships/hyperlink" Target="https://login.consultant.ru/link/?req=doc&amp;base=RZR&amp;n=477153&amp;dst=100011" TargetMode = "External"/>
	<Relationship Id="rId34" Type="http://schemas.openxmlformats.org/officeDocument/2006/relationships/hyperlink" Target="https://login.consultant.ru/link/?req=doc&amp;base=RZR&amp;n=477153&amp;dst=100042" TargetMode = "External"/>
	<Relationship Id="rId35" Type="http://schemas.openxmlformats.org/officeDocument/2006/relationships/hyperlink" Target="https://login.consultant.ru/link/?req=doc&amp;base=RZR&amp;n=477153&amp;dst=1000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02.03.2022 N 03-264
"О направлении разъяснений"
(вместе с "Разъяснениями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заключения")</dc:title>
  <dcterms:created xsi:type="dcterms:W3CDTF">2025-03-03T14:43:48Z</dcterms:created>
</cp:coreProperties>
</file>