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Минобрнауки России от 28.05.2024 N МН-5/1490-ДА</w:t>
              <w:br/>
              <w:t xml:space="preserve">"О направлении информации"</w:t>
              <w:br/>
              <w:t xml:space="preserve">(вместе с "Информационными материалами по вопросам целевого обучения")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ПИСЬМО</w:t>
      </w:r>
    </w:p>
    <w:p>
      <w:pPr>
        <w:pStyle w:val="2"/>
        <w:jc w:val="center"/>
      </w:pPr>
      <w:r>
        <w:rPr>
          <w:sz w:val="20"/>
        </w:rPr>
        <w:t xml:space="preserve">от 28 мая 2024 г. N МН-5/1490-ДА</w:t>
      </w:r>
    </w:p>
    <w:p>
      <w:pPr>
        <w:pStyle w:val="2"/>
        <w:jc w:val="center"/>
      </w:pPr>
      <w:r>
        <w:rPr>
          <w:sz w:val="20"/>
        </w:rPr>
      </w:r>
    </w:p>
    <w:p>
      <w:pPr>
        <w:pStyle w:val="2"/>
        <w:jc w:val="center"/>
      </w:pPr>
      <w:r>
        <w:rPr>
          <w:sz w:val="20"/>
        </w:rPr>
        <w:t xml:space="preserve">О НАПРАВЛЕНИИ ИНФОРМАЦИИ</w:t>
      </w:r>
    </w:p>
    <w:p>
      <w:pPr>
        <w:pStyle w:val="0"/>
        <w:ind w:firstLine="540"/>
        <w:jc w:val="both"/>
      </w:pPr>
      <w:r>
        <w:rPr>
          <w:sz w:val="20"/>
        </w:rPr>
      </w:r>
    </w:p>
    <w:p>
      <w:pPr>
        <w:pStyle w:val="0"/>
        <w:ind w:firstLine="540"/>
        <w:jc w:val="both"/>
      </w:pPr>
      <w:r>
        <w:rPr>
          <w:sz w:val="20"/>
        </w:rPr>
        <w:t xml:space="preserve">С 1 мая 2024 года в силу вступили Федеральный </w:t>
      </w:r>
      <w:hyperlink w:history="0" r:id="rId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 апреля 2023 г. N 124-ФЗ "О внесении изменений в Федеральный закон "Об образовании в Российской Федерации" и </w:t>
      </w:r>
      <w:hyperlink w:history="0" r:id="rId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постановление</w:t>
        </w:r>
      </w:hyperlink>
      <w:r>
        <w:rPr>
          <w:sz w:val="20"/>
        </w:rPr>
        <w:t xml:space="preserve">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pPr>
        <w:pStyle w:val="0"/>
        <w:spacing w:before="200" w:line-rule="auto"/>
        <w:ind w:firstLine="540"/>
        <w:jc w:val="both"/>
      </w:pPr>
      <w:r>
        <w:rPr>
          <w:sz w:val="20"/>
        </w:rPr>
        <w:t xml:space="preserve">В целях разъяснения информации по вопросам организации приема граждан на целевое обучение в рамках приемной кампании 2024/25 учебного года Министерство науки и высшего образования Российской Федерации направляет информационные </w:t>
      </w:r>
      <w:hyperlink w:history="0" w:anchor="P20" w:tooltip="ИНФОРМАЦИОННЫЕ МАТЕРИАЛЫ ПО ВОПРОСАМ ЦЕЛЕВОГО ОБУЧЕНИЯ">
        <w:r>
          <w:rPr>
            <w:sz w:val="20"/>
            <w:color w:val="0000ff"/>
          </w:rPr>
          <w:t xml:space="preserve">материалы</w:t>
        </w:r>
      </w:hyperlink>
      <w:r>
        <w:rPr>
          <w:sz w:val="20"/>
        </w:rPr>
        <w:t xml:space="preserve"> по актуальным вопросам целевого обучения, наиболее часто поступающим от субъектов Российской Федерации.</w:t>
      </w:r>
    </w:p>
    <w:p>
      <w:pPr>
        <w:pStyle w:val="0"/>
        <w:ind w:firstLine="540"/>
        <w:jc w:val="both"/>
      </w:pPr>
      <w:r>
        <w:rPr>
          <w:sz w:val="20"/>
        </w:rPr>
      </w:r>
    </w:p>
    <w:p>
      <w:pPr>
        <w:pStyle w:val="0"/>
        <w:jc w:val="right"/>
      </w:pPr>
      <w:r>
        <w:rPr>
          <w:sz w:val="20"/>
        </w:rPr>
        <w:t xml:space="preserve">Д.В.АФАНАСЬЕВ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ind w:firstLine="540"/>
        <w:jc w:val="both"/>
      </w:pPr>
      <w:r>
        <w:rPr>
          <w:sz w:val="20"/>
        </w:rPr>
      </w:r>
    </w:p>
    <w:bookmarkStart w:id="20" w:name="P20"/>
    <w:bookmarkEnd w:id="20"/>
    <w:p>
      <w:pPr>
        <w:pStyle w:val="2"/>
        <w:jc w:val="center"/>
      </w:pPr>
      <w:r>
        <w:rPr>
          <w:sz w:val="20"/>
        </w:rPr>
        <w:t xml:space="preserve">ИНФОРМАЦИОННЫЕ МАТЕРИАЛЫ ПО ВОПРОСАМ ЦЕЛЕВОГО ОБУЧЕНИЯ</w:t>
      </w:r>
    </w:p>
    <w:p>
      <w:pPr>
        <w:pStyle w:val="0"/>
        <w:jc w:val="center"/>
      </w:pPr>
      <w:r>
        <w:rPr>
          <w:sz w:val="20"/>
        </w:rPr>
      </w:r>
    </w:p>
    <w:p>
      <w:pPr>
        <w:pStyle w:val="0"/>
        <w:ind w:firstLine="540"/>
        <w:jc w:val="both"/>
      </w:pPr>
      <w:r>
        <w:rPr>
          <w:sz w:val="20"/>
        </w:rPr>
        <w:t xml:space="preserve">Федеральным </w:t>
      </w:r>
      <w:hyperlink w:history="0" r:id="rId9"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 апреля 2023 г. N 124-ФЗ "О внесении изменений в Федеральный закон "Об образовании в Российской Федерации" (далее - Федеральный закон N 124-ФЗ) внесены изменения в Федеральный </w:t>
      </w:r>
      <w:hyperlink w:history="0" r:id="rId1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w:t>
        </w:r>
      </w:hyperlink>
      <w:r>
        <w:rPr>
          <w:sz w:val="20"/>
        </w:rPr>
        <w:t xml:space="preserve"> от 29 декабря 2012 г. N 273-ФЗ "Об образовании в Российской Федерации" (далее - Федеральный закон N 273-ФЗ) в части целевого обучения и приема на целевое обучение. В соответствии с Федеральным </w:t>
      </w:r>
      <w:hyperlink w:history="0" r:id="rId1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N 124-ФЗ принято </w:t>
      </w:r>
      <w:hyperlink w:history="0" r:id="rId1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постановление</w:t>
        </w:r>
      </w:hyperlink>
      <w:r>
        <w:rPr>
          <w:sz w:val="20"/>
        </w:rPr>
        <w:t xml:space="preserve">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(далее - постановление N 555). Постановлением N 555 утверждено </w:t>
      </w:r>
      <w:hyperlink w:history="0" r:id="rId1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по образовательным программам среднего профессионального и высшего образования (далее - Положение о целевом обучении).</w:t>
      </w:r>
    </w:p>
    <w:p>
      <w:pPr>
        <w:pStyle w:val="0"/>
        <w:spacing w:before="200" w:line-rule="auto"/>
        <w:ind w:firstLine="540"/>
        <w:jc w:val="both"/>
      </w:pPr>
      <w:r>
        <w:rPr>
          <w:sz w:val="20"/>
        </w:rPr>
        <w:t xml:space="preserve">1. Целевое обучение осуществляется в соответствии с договором о целевом обучении. Договор о целевом обучении может быть заключен:</w:t>
      </w:r>
    </w:p>
    <w:p>
      <w:pPr>
        <w:pStyle w:val="0"/>
        <w:spacing w:before="200" w:line-rule="auto"/>
        <w:ind w:firstLine="540"/>
        <w:jc w:val="both"/>
      </w:pPr>
      <w:r>
        <w:rPr>
          <w:sz w:val="20"/>
        </w:rPr>
        <w:t xml:space="preserve">1) с гражданами, которые обучаются по образовательным программам;</w:t>
      </w:r>
    </w:p>
    <w:p>
      <w:pPr>
        <w:pStyle w:val="0"/>
        <w:spacing w:before="200" w:line-rule="auto"/>
        <w:ind w:firstLine="540"/>
        <w:jc w:val="both"/>
      </w:pPr>
      <w:r>
        <w:rPr>
          <w:sz w:val="20"/>
        </w:rPr>
        <w:t xml:space="preserve">2) с гражданами, которые поступили:</w:t>
      </w:r>
    </w:p>
    <w:p>
      <w:pPr>
        <w:pStyle w:val="0"/>
        <w:spacing w:before="200" w:line-rule="auto"/>
        <w:ind w:firstLine="540"/>
        <w:jc w:val="both"/>
      </w:pPr>
      <w:r>
        <w:rPr>
          <w:sz w:val="20"/>
        </w:rPr>
        <w:t xml:space="preserve">на целевое обучение в пределах установленной квоты (далее соответственно - целевое обучение в пределах квоты, целевая квота);</w:t>
      </w:r>
    </w:p>
    <w:p>
      <w:pPr>
        <w:pStyle w:val="0"/>
        <w:spacing w:before="200" w:line-rule="auto"/>
        <w:ind w:firstLine="540"/>
        <w:jc w:val="both"/>
      </w:pPr>
      <w:r>
        <w:rPr>
          <w:sz w:val="20"/>
        </w:rPr>
        <w:t xml:space="preserve">на обучение за счет бюджетных средств на общих основаниях (не в пределах квоты);</w:t>
      </w:r>
    </w:p>
    <w:p>
      <w:pPr>
        <w:pStyle w:val="0"/>
        <w:spacing w:before="200" w:line-rule="auto"/>
        <w:ind w:firstLine="540"/>
        <w:jc w:val="both"/>
      </w:pPr>
      <w:r>
        <w:rPr>
          <w:sz w:val="20"/>
        </w:rPr>
        <w:t xml:space="preserve">на платное обучение.</w:t>
      </w:r>
    </w:p>
    <w:p>
      <w:pPr>
        <w:pStyle w:val="0"/>
        <w:spacing w:before="200" w:line-rule="auto"/>
        <w:ind w:firstLine="540"/>
        <w:jc w:val="both"/>
      </w:pPr>
      <w:r>
        <w:rPr>
          <w:sz w:val="20"/>
        </w:rPr>
        <w:t xml:space="preserve">2. Сторонами договора о целевом обучении являются гражданин и заказчик целевого обучения (далее - заказчик).</w:t>
      </w:r>
    </w:p>
    <w:p>
      <w:pPr>
        <w:pStyle w:val="0"/>
        <w:spacing w:before="200" w:line-rule="auto"/>
        <w:ind w:firstLine="540"/>
        <w:jc w:val="both"/>
      </w:pPr>
      <w:r>
        <w:rPr>
          <w:sz w:val="20"/>
        </w:rPr>
        <w:t xml:space="preserve">Если договор о целевом обучении предусматривает прохождение гражданином практической подготовки у заказчика или работодателя и (или) договором о целевом обучении установлены требования заказчика к успеваемости гражданина, то:</w:t>
      </w:r>
    </w:p>
    <w:p>
      <w:pPr>
        <w:pStyle w:val="0"/>
        <w:spacing w:before="200" w:line-rule="auto"/>
        <w:ind w:firstLine="540"/>
        <w:jc w:val="both"/>
      </w:pPr>
      <w:r>
        <w:rPr>
          <w:sz w:val="20"/>
        </w:rPr>
        <w:t xml:space="preserve">стороной договора о целевом обучении является организация, осуществляющая образовательную деятельность;</w:t>
      </w:r>
    </w:p>
    <w:p>
      <w:pPr>
        <w:pStyle w:val="0"/>
        <w:spacing w:before="200" w:line-rule="auto"/>
        <w:ind w:firstLine="540"/>
        <w:jc w:val="both"/>
      </w:pPr>
      <w:r>
        <w:rPr>
          <w:sz w:val="20"/>
        </w:rPr>
        <w:t xml:space="preserve">стороной договора о целевом обучении может являться работодатель.</w:t>
      </w:r>
    </w:p>
    <w:p>
      <w:pPr>
        <w:pStyle w:val="0"/>
        <w:spacing w:before="200" w:line-rule="auto"/>
        <w:ind w:firstLine="540"/>
        <w:jc w:val="both"/>
      </w:pPr>
      <w:r>
        <w:rPr>
          <w:sz w:val="20"/>
        </w:rPr>
        <w:t xml:space="preserve">3. Заказчиком может быть любое юридическое лицо или индивидуальный предприниматель.</w:t>
      </w:r>
    </w:p>
    <w:p>
      <w:pPr>
        <w:pStyle w:val="0"/>
        <w:spacing w:before="200" w:line-rule="auto"/>
        <w:ind w:firstLine="540"/>
        <w:jc w:val="both"/>
      </w:pPr>
      <w:r>
        <w:rPr>
          <w:sz w:val="20"/>
        </w:rPr>
        <w:t xml:space="preserve">При этом, если предусматривается заключение договора о целевом обучении с гражданином, который поступает на целевое обучение в пределах квоты, заказчиком может быть только юридическое лицо, относящееся к какой-либо из категорий, указанных в перечне, установленном </w:t>
      </w:r>
      <w:hyperlink w:history="0" r:id="rId1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1 статьи 71.1</w:t>
        </w:r>
      </w:hyperlink>
      <w:r>
        <w:rPr>
          <w:sz w:val="20"/>
        </w:rPr>
        <w:t xml:space="preserve"> Федерального закона N 273-ФЗ. Указанный перечень является закрытым.</w:t>
      </w:r>
    </w:p>
    <w:p>
      <w:pPr>
        <w:pStyle w:val="0"/>
        <w:spacing w:before="200" w:line-rule="auto"/>
        <w:ind w:firstLine="540"/>
        <w:jc w:val="both"/>
      </w:pPr>
      <w:r>
        <w:rPr>
          <w:sz w:val="20"/>
        </w:rPr>
        <w:t xml:space="preserve">В указанный перечень включены федеральные государственные органы, органы государственной власти субъектов Российской Федерации, органы местного самоуправления, государственные и муниципальные учреждения, унитарные предприятия, государственные корпорации, государственные компании, организации оборонно-промышленного комплекса, хозяйственные общества, в уставном капитале которых присутствует доля Российской Федерации, субъекта Российской Федерации или муниципального образования, акционерные общества,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Договор о целевом обучении может устанавливать, что местом осуществления трудовой деятельности гражданина после завершения освоения образовательной программы будет являться либо организация-заказчик (индивидуальный предприниматель-заказчик), либо иная организация или индивидуальный предприниматель (далее - работодатель). При этом работодатель может включаться или не включаться в число сторон договора о целевом обучении.</w:t>
      </w:r>
    </w:p>
    <w:p>
      <w:pPr>
        <w:pStyle w:val="0"/>
        <w:spacing w:before="200" w:line-rule="auto"/>
        <w:ind w:firstLine="540"/>
        <w:jc w:val="both"/>
      </w:pPr>
      <w:r>
        <w:rPr>
          <w:sz w:val="20"/>
        </w:rPr>
        <w:t xml:space="preserve">Работодателем может быть любое юридическое лицо или индивидуальный предприниматель, в том числе в случае, если договор о целевом обучении заключается с гражданином, который поступил на целевое обучение в пределах квоты. То есть заказчик, относящийся к перечню, установленному </w:t>
      </w:r>
      <w:hyperlink w:history="0" r:id="rId15"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1 статьи 71.1</w:t>
        </w:r>
      </w:hyperlink>
      <w:r>
        <w:rPr>
          <w:sz w:val="20"/>
        </w:rPr>
        <w:t xml:space="preserve"> Федерального закона N 273-ФЗ, может заключить договор о целевом обучении в интересах работодателя, который не относится к указанному перечню.</w:t>
      </w:r>
    </w:p>
    <w:p>
      <w:pPr>
        <w:pStyle w:val="0"/>
        <w:spacing w:before="200" w:line-rule="auto"/>
        <w:ind w:firstLine="540"/>
        <w:jc w:val="both"/>
      </w:pPr>
      <w:r>
        <w:rPr>
          <w:sz w:val="20"/>
        </w:rPr>
        <w:t xml:space="preserve">В частности, если местом осуществления трудовой деятельности в соответствии с договором о целевом обучении является образовательная организация или организация здравоохранения, находящаяся на территории субъекта Российской Федерации (муниципального образования), то заказчиком может быть либо орган исполнительной власти субъекта Российской Федерации (орган местного самоуправления), либо данная организация.</w:t>
      </w:r>
    </w:p>
    <w:p>
      <w:pPr>
        <w:pStyle w:val="0"/>
        <w:spacing w:before="200" w:line-rule="auto"/>
        <w:ind w:firstLine="540"/>
        <w:jc w:val="both"/>
      </w:pPr>
      <w:r>
        <w:rPr>
          <w:sz w:val="20"/>
        </w:rPr>
        <w:t xml:space="preserve">4. В случае если заказчик является органом исполнительной власти субъекта Российской Федерации или органом местного самоуправления, в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 (</w:t>
      </w:r>
      <w:hyperlink w:history="0" r:id="rId1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пункт 80</w:t>
        </w:r>
      </w:hyperlink>
      <w:r>
        <w:rPr>
          <w:sz w:val="20"/>
        </w:rPr>
        <w:t xml:space="preserve"> Положения о целевом обучении).</w:t>
      </w:r>
    </w:p>
    <w:p>
      <w:pPr>
        <w:pStyle w:val="0"/>
        <w:spacing w:before="200" w:line-rule="auto"/>
        <w:ind w:firstLine="540"/>
        <w:jc w:val="both"/>
      </w:pPr>
      <w:r>
        <w:rPr>
          <w:sz w:val="20"/>
        </w:rPr>
        <w:t xml:space="preserve">То есть орган исполнительной власти субъекта Российской Федерации не может заключить договор о целевом обучении в интересах работодателя, находящегося на территории иного субъекта Российской Федерации, орган местного самоуправления не может заключить договор о целевом обучении в интересах работодателя, находящегося на территории иного муниципального образования.</w:t>
      </w:r>
    </w:p>
    <w:p>
      <w:pPr>
        <w:pStyle w:val="0"/>
        <w:spacing w:before="200" w:line-rule="auto"/>
        <w:ind w:firstLine="540"/>
        <w:jc w:val="both"/>
      </w:pPr>
      <w:r>
        <w:rPr>
          <w:sz w:val="20"/>
        </w:rPr>
        <w:t xml:space="preserve">При этом после заключения договора о целевом обучении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pPr>
        <w:pStyle w:val="0"/>
        <w:spacing w:before="200" w:line-rule="auto"/>
        <w:ind w:firstLine="540"/>
        <w:jc w:val="both"/>
      </w:pPr>
      <w:r>
        <w:rPr>
          <w:sz w:val="20"/>
        </w:rPr>
        <w:t xml:space="preserve">5. </w:t>
      </w:r>
      <w:hyperlink w:history="0" r:id="rId17"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w:t>
      </w:r>
    </w:p>
    <w:p>
      <w:pPr>
        <w:pStyle w:val="0"/>
        <w:spacing w:before="200" w:line-rule="auto"/>
        <w:ind w:firstLine="540"/>
        <w:jc w:val="both"/>
      </w:pPr>
      <w:r>
        <w:rPr>
          <w:sz w:val="20"/>
        </w:rPr>
        <w:t xml:space="preserve">В этом случае гражданин, принятый на целевое обучение в пределах квоты, может осуществлять трудовую деятельность в соответствии с договором о целевом обучении только не территории субъектов Российской Федерации, которые включены в перечень субъектов Российской Федерации. То есть в договоре о целевом обучении с гражданином, принятым на целевое обучение в пределах квоты, должно быть указано место осуществления трудовой деятельности на территории субъекта Российской Федерации, включенного в перечень субъектов Российской Федерации (</w:t>
      </w:r>
      <w:hyperlink w:history="0" r:id="rId1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пункт 79</w:t>
        </w:r>
      </w:hyperlink>
      <w:r>
        <w:rPr>
          <w:sz w:val="20"/>
        </w:rPr>
        <w:t xml:space="preserve"> Положения о целевом обучении).</w:t>
      </w:r>
    </w:p>
    <w:p>
      <w:pPr>
        <w:pStyle w:val="0"/>
        <w:spacing w:before="200" w:line-rule="auto"/>
        <w:ind w:firstLine="540"/>
        <w:jc w:val="both"/>
      </w:pPr>
      <w:r>
        <w:rPr>
          <w:sz w:val="20"/>
        </w:rPr>
        <w:t xml:space="preserve">При необходимости изменения места осуществления трудовой деятельности оно может быть изменено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 (</w:t>
      </w:r>
      <w:hyperlink w:history="0" r:id="rId1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пункт 81</w:t>
        </w:r>
      </w:hyperlink>
      <w:r>
        <w:rPr>
          <w:sz w:val="20"/>
        </w:rPr>
        <w:t xml:space="preserve"> Положения о целевом обучении).</w:t>
      </w:r>
    </w:p>
    <w:p>
      <w:pPr>
        <w:pStyle w:val="0"/>
        <w:spacing w:before="200" w:line-rule="auto"/>
        <w:ind w:firstLine="540"/>
        <w:jc w:val="both"/>
      </w:pPr>
      <w:r>
        <w:rPr>
          <w:sz w:val="20"/>
        </w:rPr>
        <w:t xml:space="preserve">6. Существенным условием договора о целевом обучении является обязательство заказчика целевого обучения (далее - заказчик) по организации предоставления и (или) предоставлению гражданину, заключившему договор о целевом обучении, в период обучения мер поддержки (</w:t>
      </w:r>
      <w:hyperlink w:history="0" r:id="rId2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подпункт "а" пункта 1 части 3 статьи 56</w:t>
        </w:r>
      </w:hyperlink>
      <w:r>
        <w:rPr>
          <w:sz w:val="20"/>
        </w:rPr>
        <w:t xml:space="preserve"> Федерального закона N 273).</w:t>
      </w:r>
    </w:p>
    <w:p>
      <w:pPr>
        <w:pStyle w:val="0"/>
        <w:spacing w:before="200" w:line-rule="auto"/>
        <w:ind w:firstLine="540"/>
        <w:jc w:val="both"/>
      </w:pPr>
      <w:r>
        <w:rPr>
          <w:sz w:val="20"/>
        </w:rPr>
        <w:t xml:space="preserve">Это означает, что заказчик обязан обеспечить предоставление гражданину мер поддержки в период обучения. При этом заказчик может обеспечить предоставление этих мер двумя способами: либо путем непосредственного предоставления мер поддержки, либо путем организации их предоставления. То есть если договором о целевом обучении устанавливается, что гражданин будет осуществлять трудовую деятельность не у заказчика, а в другой организации или у индивидуального предпринимателя (далее - работодатель), то заказчик может организовать предоставление гражданину мер поддержки работодателем.</w:t>
      </w:r>
    </w:p>
    <w:p>
      <w:pPr>
        <w:pStyle w:val="0"/>
        <w:spacing w:before="200" w:line-rule="auto"/>
        <w:ind w:firstLine="540"/>
        <w:jc w:val="both"/>
      </w:pPr>
      <w:r>
        <w:rPr>
          <w:sz w:val="20"/>
        </w:rPr>
        <w:t xml:space="preserve">Меры поддержки включают в себя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другие меры.</w:t>
      </w:r>
    </w:p>
    <w:p>
      <w:pPr>
        <w:pStyle w:val="0"/>
        <w:spacing w:before="200" w:line-rule="auto"/>
        <w:ind w:firstLine="540"/>
        <w:jc w:val="both"/>
      </w:pPr>
      <w:r>
        <w:rPr>
          <w:sz w:val="20"/>
        </w:rPr>
        <w:t xml:space="preserve">7. </w:t>
      </w:r>
      <w:hyperlink w:history="0" r:id="rId2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Положением</w:t>
        </w:r>
      </w:hyperlink>
      <w:r>
        <w:rPr>
          <w:sz w:val="20"/>
        </w:rPr>
        <w:t xml:space="preserve"> о целевом обучении установлено, что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 (</w:t>
      </w:r>
      <w:hyperlink w:history="0" r:id="rId2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подпункт "а" пункта 5</w:t>
        </w:r>
      </w:hyperlink>
      <w:r>
        <w:rPr>
          <w:sz w:val="20"/>
        </w:rPr>
        <w:t xml:space="preserve"> Положения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ч. 1.1. ст. 71.1, а не ч. 1.1 ст. 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Согласно </w:t>
      </w:r>
      <w:hyperlink w:history="0" r:id="rId2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1.1 статьи 56</w:t>
        </w:r>
      </w:hyperlink>
      <w:r>
        <w:rPr>
          <w:sz w:val="20"/>
        </w:rPr>
        <w:t xml:space="preserve"> Федерального закона N 273 в случае заключения договора о целевом обучении с гражданами, которые поступили на целевое обучение в пределах квоты по программам бакалавриата и программам специалитета, меры материального стимулирования в период обучения гражданина устанавливаются в объеме не ниже размера государственной академической стипендии, назначаемой в порядке, предусмотренном </w:t>
      </w:r>
      <w:hyperlink w:history="0" r:id="rId2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3 статьи 36</w:t>
        </w:r>
      </w:hyperlink>
      <w:r>
        <w:rPr>
          <w:sz w:val="20"/>
        </w:rPr>
        <w:t xml:space="preserve"> Федерального закона N 273 (далее - государственная академическая стипендия).</w:t>
      </w:r>
    </w:p>
    <w:p>
      <w:pPr>
        <w:pStyle w:val="0"/>
        <w:spacing w:before="200" w:line-rule="auto"/>
        <w:ind w:firstLine="540"/>
        <w:jc w:val="both"/>
      </w:pPr>
      <w:r>
        <w:rPr>
          <w:sz w:val="20"/>
        </w:rPr>
        <w:t xml:space="preserve">Данная норма является императивной. В связи с этим норму о том, что стороны договора о целевом обучении самостоятельно определяют перечень мер поддержки, необходимо применять с учетом </w:t>
      </w:r>
      <w:hyperlink w:history="0" r:id="rId25"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1.1 статьи 56</w:t>
        </w:r>
      </w:hyperlink>
      <w:r>
        <w:rPr>
          <w:sz w:val="20"/>
        </w:rPr>
        <w:t xml:space="preserve"> Федерального закона N 273, то есть в случае заключения договора о целевом обучении с гражданами, которые поступили на целевое обучение в пределах квоты по программам бакалавриата и программам специалитета, перечень мер поддержки, определяемый сторонами договора о целевом обучении, должен в обязательном порядке включать в себя материальное стимулирование в объеме не ниже размера государственной академической стипендии.</w:t>
      </w:r>
    </w:p>
    <w:p>
      <w:pPr>
        <w:pStyle w:val="0"/>
        <w:spacing w:before="200" w:line-rule="auto"/>
        <w:ind w:firstLine="540"/>
        <w:jc w:val="both"/>
      </w:pPr>
      <w:hyperlink w:history="0" r:id="rId2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3 статьи 36</w:t>
        </w:r>
      </w:hyperlink>
      <w:r>
        <w:rPr>
          <w:sz w:val="20"/>
        </w:rPr>
        <w:t xml:space="preserve"> Федерального закона N 273 установлено, что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в порядке, установленном Минобрнауки России.</w:t>
      </w:r>
    </w:p>
    <w:p>
      <w:pPr>
        <w:pStyle w:val="0"/>
        <w:spacing w:before="200" w:line-rule="auto"/>
        <w:ind w:firstLine="540"/>
        <w:jc w:val="both"/>
      </w:pPr>
      <w:hyperlink w:history="0" r:id="rId27"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Порядок</w:t>
        </w:r>
      </w:hyperlink>
      <w:r>
        <w:rPr>
          <w:sz w:val="20"/>
        </w:rPr>
        <w:t xml:space="preserve">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 Порядок назначения стипендии), утвержден приказом Минобрнауки России от 27 декабря 2016 г. N 1663.</w:t>
      </w:r>
    </w:p>
    <w:p>
      <w:pPr>
        <w:pStyle w:val="0"/>
        <w:spacing w:before="200" w:line-rule="auto"/>
        <w:ind w:firstLine="540"/>
        <w:jc w:val="both"/>
      </w:pPr>
      <w:r>
        <w:rPr>
          <w:sz w:val="20"/>
        </w:rPr>
        <w:t xml:space="preserve">Размер государственной академической стипендии студентам не может быть меньше норматива, установленного Правительством Российской Федерации с учетом уровня инфляции (</w:t>
      </w:r>
      <w:hyperlink w:history="0" r:id="rId28"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пункт 3</w:t>
        </w:r>
      </w:hyperlink>
      <w:r>
        <w:rPr>
          <w:sz w:val="20"/>
        </w:rPr>
        <w:t xml:space="preserve"> Порядка назначения стипендии).</w:t>
      </w:r>
    </w:p>
    <w:p>
      <w:pPr>
        <w:pStyle w:val="0"/>
        <w:spacing w:before="200" w:line-rule="auto"/>
        <w:ind w:firstLine="540"/>
        <w:jc w:val="both"/>
      </w:pPr>
      <w:r>
        <w:rPr>
          <w:sz w:val="20"/>
        </w:rPr>
        <w:t xml:space="preserve">Постановлением Правительства Российской Федерации от 17 декабря 2016 г. N 1390 (далее - постановление N 1390) утверждены </w:t>
      </w:r>
      <w:hyperlink w:history="0" r:id="rId29"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w:t>
        </w:r>
      </w:hyperlink>
      <w:r>
        <w:rPr>
          <w:sz w:val="20"/>
        </w:rPr>
        <w:t xml:space="preserve"> формирования стипендиального фонда за счет бюджетных ассигнований федерального бюджета (далее - Правила формирования стипендиального фонда) и </w:t>
      </w:r>
      <w:hyperlink w:history="0" r:id="rId30"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нормативы</w:t>
        </w:r>
      </w:hyperlink>
      <w:r>
        <w:rPr>
          <w:sz w:val="20"/>
        </w:rPr>
        <w:t xml:space="preserve"> для формирования стипендиального фонда за счет бюджетных ассигнований федерального бюджета (далее - нормативы стипендиального фонда).</w:t>
      </w:r>
    </w:p>
    <w:p>
      <w:pPr>
        <w:pStyle w:val="0"/>
        <w:spacing w:before="200" w:line-rule="auto"/>
        <w:ind w:firstLine="540"/>
        <w:jc w:val="both"/>
      </w:pPr>
      <w:r>
        <w:rPr>
          <w:sz w:val="20"/>
        </w:rPr>
        <w:t xml:space="preserve">Норматив государственной академической стипендии студентам, обучающимся по программам бакалавриата, программам специалитета, установленный </w:t>
      </w:r>
      <w:hyperlink w:history="0" r:id="rId31"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постановлением</w:t>
        </w:r>
      </w:hyperlink>
      <w:r>
        <w:rPr>
          <w:sz w:val="20"/>
        </w:rPr>
        <w:t xml:space="preserve"> N 1390 (далее - федеральный норматив академической стипендии), составляет 1 484 рубля в месяц (</w:t>
      </w:r>
      <w:hyperlink w:history="0" r:id="rId32"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пункт 1</w:t>
        </w:r>
      </w:hyperlink>
      <w:r>
        <w:rPr>
          <w:sz w:val="20"/>
        </w:rPr>
        <w:t xml:space="preserve"> нормативов стипендиального фонда). Объем стипендиального фонда рассчитывается с учетом районного коэффициента, установленного Правительством Российской Федерации за работу в районах Крайнего Севера и приравненных к ним местностях (далее - районный коэффициент) (</w:t>
      </w:r>
      <w:hyperlink w:history="0" r:id="rId33"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пункт 6</w:t>
        </w:r>
      </w:hyperlink>
      <w:r>
        <w:rPr>
          <w:sz w:val="20"/>
        </w:rPr>
        <w:t xml:space="preserve"> Правил формирования стипендиального фонда).</w:t>
      </w:r>
    </w:p>
    <w:p>
      <w:pPr>
        <w:pStyle w:val="0"/>
        <w:spacing w:before="200" w:line-rule="auto"/>
        <w:ind w:firstLine="540"/>
        <w:jc w:val="both"/>
      </w:pPr>
      <w:r>
        <w:rPr>
          <w:sz w:val="20"/>
        </w:rPr>
        <w:t xml:space="preserve">С учетом изложенного при применении </w:t>
      </w:r>
      <w:hyperlink w:history="0" r:id="rId3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1.1 статьи 56</w:t>
        </w:r>
      </w:hyperlink>
      <w:r>
        <w:rPr>
          <w:sz w:val="20"/>
        </w:rPr>
        <w:t xml:space="preserve"> Федерального закона N 273 необходимо руководствоваться следующим.</w:t>
      </w:r>
    </w:p>
    <w:p>
      <w:pPr>
        <w:pStyle w:val="0"/>
        <w:spacing w:before="200" w:line-rule="auto"/>
        <w:ind w:firstLine="540"/>
        <w:jc w:val="both"/>
      </w:pPr>
      <w:r>
        <w:rPr>
          <w:sz w:val="20"/>
        </w:rPr>
        <w:t xml:space="preserve">1) Минимальный размер государственной академической стипендии определяется в соответствии с федеральным нормативом академической стипендии с учетом уровня инфляции и районного коэффициента.</w:t>
      </w:r>
    </w:p>
    <w:p>
      <w:pPr>
        <w:pStyle w:val="0"/>
        <w:spacing w:before="200" w:line-rule="auto"/>
        <w:ind w:firstLine="540"/>
        <w:jc w:val="both"/>
      </w:pPr>
      <w:r>
        <w:rPr>
          <w:sz w:val="20"/>
        </w:rPr>
        <w:t xml:space="preserve">2) Уровень инфляции ежегодно утверждается федеральным законом о федеральном бюджете на соответствующий год.</w:t>
      </w:r>
    </w:p>
    <w:p>
      <w:pPr>
        <w:pStyle w:val="0"/>
        <w:spacing w:before="200" w:line-rule="auto"/>
        <w:ind w:firstLine="540"/>
        <w:jc w:val="both"/>
      </w:pPr>
      <w:r>
        <w:rPr>
          <w:sz w:val="20"/>
        </w:rPr>
        <w:t xml:space="preserve">В 2023/24 учебном году размер стипендии с учетом уровня инфляции составляет 1 967 руб.</w:t>
      </w:r>
    </w:p>
    <w:p>
      <w:pPr>
        <w:pStyle w:val="0"/>
        <w:spacing w:before="200" w:line-rule="auto"/>
        <w:ind w:firstLine="540"/>
        <w:jc w:val="both"/>
      </w:pPr>
      <w:r>
        <w:rPr>
          <w:sz w:val="20"/>
        </w:rPr>
        <w:t xml:space="preserve">На 2024 год уровень инфляции составляет 4,5% (</w:t>
      </w:r>
      <w:hyperlink w:history="0" r:id="rId35" w:tooltip="Федеральный закон от 27.11.2023 N 540-ФЗ &quot;О федеральном бюджете на 2024 год и на плановый период 2025 и 2026 годов&quot; {КонсультантПлюс}">
        <w:r>
          <w:rPr>
            <w:sz w:val="20"/>
            <w:color w:val="0000ff"/>
          </w:rPr>
          <w:t xml:space="preserve">пункт 1 статьи 1</w:t>
        </w:r>
      </w:hyperlink>
      <w:r>
        <w:rPr>
          <w:sz w:val="20"/>
        </w:rPr>
        <w:t xml:space="preserve"> Федерального закона от 27 ноября 2023 г. N 540-ФЗ "О федеральном бюджете на 2024 год и на плановый период 2025 и 2026 годов").</w:t>
      </w:r>
    </w:p>
    <w:p>
      <w:pPr>
        <w:pStyle w:val="0"/>
        <w:spacing w:before="200" w:line-rule="auto"/>
        <w:ind w:firstLine="540"/>
        <w:jc w:val="both"/>
      </w:pPr>
      <w:r>
        <w:rPr>
          <w:sz w:val="20"/>
        </w:rPr>
        <w:t xml:space="preserve">Для расчета размера стипендии на 2024/25 учебный год размер стипендии 2023/24 учебного года (1 967 руб.) нужно увеличить на уровень инфляции 2024 года (4,5% или 89 руб.).</w:t>
      </w:r>
    </w:p>
    <w:p>
      <w:pPr>
        <w:pStyle w:val="0"/>
        <w:spacing w:before="200" w:line-rule="auto"/>
        <w:ind w:firstLine="540"/>
        <w:jc w:val="both"/>
      </w:pPr>
      <w:r>
        <w:rPr>
          <w:sz w:val="20"/>
        </w:rPr>
        <w:t xml:space="preserve">Таким образом, размер стипендии на 2024/25 учебный год с учетом уровня инфляции составляет:</w:t>
      </w:r>
    </w:p>
    <w:p>
      <w:pPr>
        <w:pStyle w:val="0"/>
        <w:spacing w:before="200" w:line-rule="auto"/>
        <w:ind w:firstLine="540"/>
        <w:jc w:val="both"/>
      </w:pPr>
      <w:r>
        <w:rPr>
          <w:sz w:val="20"/>
        </w:rPr>
        <w:t xml:space="preserve">1 967 + 89 (4,5%) = 2 056 руб. (без учета районного коэффициента).</w:t>
      </w:r>
    </w:p>
    <w:p>
      <w:pPr>
        <w:pStyle w:val="0"/>
        <w:spacing w:before="200" w:line-rule="auto"/>
        <w:ind w:firstLine="540"/>
        <w:jc w:val="both"/>
      </w:pPr>
      <w:r>
        <w:rPr>
          <w:sz w:val="20"/>
        </w:rPr>
        <w:t xml:space="preserve">3) В ряде субъектов Российской Федерации региональными нормативными правовыми актами установлены нормативы государственной академической стипендии, отличающиеся от федерального норматива академической стипендии. Однако для расчета минимального размера государственной академической стипендии необходимо применять федеральный норматив академической стипендии.</w:t>
      </w:r>
    </w:p>
    <w:p>
      <w:pPr>
        <w:pStyle w:val="0"/>
        <w:spacing w:before="200" w:line-rule="auto"/>
        <w:ind w:firstLine="540"/>
        <w:jc w:val="both"/>
      </w:pPr>
      <w:r>
        <w:rPr>
          <w:sz w:val="20"/>
        </w:rPr>
        <w:t xml:space="preserve">4) Материальное стимулирование в размере не менее минимального размера государственной академической стипендии осуществляется в отношении всех граждан, которые поступили на целевое обучение в пределах квоты по программам бакалавриата и программам специалитета, вне зависимости от формы обучения, а также вне зависимости от уровня бюджета, за счет которого финансируется обучение (федеральный бюджет, бюджет субъекта Российской Федерации, местный бюджет), поскольку </w:t>
      </w:r>
      <w:hyperlink w:history="0" r:id="rId3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1.1 статьи 56</w:t>
        </w:r>
      </w:hyperlink>
      <w:r>
        <w:rPr>
          <w:sz w:val="20"/>
        </w:rPr>
        <w:t xml:space="preserve"> Федерального закона N 273 не установлено каких-либо ограничений по применению этой нормы.</w:t>
      </w:r>
    </w:p>
    <w:p>
      <w:pPr>
        <w:pStyle w:val="0"/>
        <w:spacing w:before="200" w:line-rule="auto"/>
        <w:ind w:firstLine="540"/>
        <w:jc w:val="both"/>
      </w:pPr>
      <w:r>
        <w:rPr>
          <w:sz w:val="20"/>
        </w:rPr>
        <w:t xml:space="preserve">5) Материальное стимулирование в размере не менее минимального размера государственной академической стипендии целесообразно осуществлять с той же периодичностью, что и выплату государственной академической стипендии, то есть ежемесячно.</w:t>
      </w:r>
    </w:p>
    <w:p>
      <w:pPr>
        <w:pStyle w:val="0"/>
        <w:spacing w:before="200" w:line-rule="auto"/>
        <w:ind w:firstLine="540"/>
        <w:jc w:val="both"/>
      </w:pPr>
      <w:r>
        <w:rPr>
          <w:sz w:val="20"/>
        </w:rPr>
        <w:t xml:space="preserve">6) Материальное стимулирование осуществляется вне зависимости от того, получает ли студент государственную академическую стипендию за счет стипендиального фонда организации, осуществляющей образовательную деятельность (далее - стипендиальный фонд). То есть назначение студенту государственной академической стипендии за счет стипендиального фонда не может являться основанием для снижения или отмены материального стимулирования.</w:t>
      </w:r>
    </w:p>
    <w:p>
      <w:pPr>
        <w:pStyle w:val="0"/>
        <w:spacing w:before="200" w:line-rule="auto"/>
        <w:ind w:firstLine="540"/>
        <w:jc w:val="both"/>
      </w:pPr>
      <w:r>
        <w:rPr>
          <w:sz w:val="20"/>
        </w:rPr>
        <w:t xml:space="preserve">7) Аналогично назначение студенту государственной академической стипендии за счет стипендиального фонда осуществляется вне зависимости от того, получает ли студент материальное стимулирование от заказчика. Указанное материальное стимулирование не может являться основанием для отказа студенту в назначении государственной академической стипендии или снижения ее размера.</w:t>
      </w:r>
    </w:p>
    <w:p>
      <w:pPr>
        <w:pStyle w:val="0"/>
        <w:spacing w:before="200" w:line-rule="auto"/>
        <w:ind w:firstLine="540"/>
        <w:jc w:val="both"/>
      </w:pPr>
      <w:r>
        <w:rPr>
          <w:sz w:val="20"/>
        </w:rPr>
        <w:t xml:space="preserve">8) Поскольку заказчики должны осуществлять или организовать предоставление материального стимулирования, средства на его выплату должны быть предусмотрены в бюджете заказчика или работодателя.</w:t>
      </w:r>
    </w:p>
    <w:p>
      <w:pPr>
        <w:pStyle w:val="0"/>
        <w:spacing w:before="200" w:line-rule="auto"/>
        <w:ind w:firstLine="540"/>
        <w:jc w:val="both"/>
      </w:pPr>
      <w:r>
        <w:rPr>
          <w:sz w:val="20"/>
        </w:rPr>
        <w:t xml:space="preserve">В 2024 году сложилась ситуация, при которой в ряде случаев в бюджете заказчиков и работодателей не предусмотрены средства на выплату материального стимулирования, поскольку бюджет был сформирован до даты вступления в силу Федерального </w:t>
      </w:r>
      <w:hyperlink w:history="0" r:id="rId3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N 124-ФЗ (1 мая 2024 г.).</w:t>
      </w:r>
    </w:p>
    <w:p>
      <w:pPr>
        <w:pStyle w:val="0"/>
        <w:spacing w:before="200" w:line-rule="auto"/>
        <w:ind w:firstLine="540"/>
        <w:jc w:val="both"/>
      </w:pPr>
      <w:r>
        <w:rPr>
          <w:sz w:val="20"/>
        </w:rPr>
        <w:t xml:space="preserve">Однако необходимо отметить, что Федеральный </w:t>
      </w:r>
      <w:hyperlink w:history="0" r:id="rId3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N 124-ФЗ был принят 14 апреля 2023 г. и в тот же день официально опубликован на официальном интернет-портале правовой информации </w:t>
      </w:r>
      <w:r>
        <w:rPr>
          <w:sz w:val="20"/>
        </w:rPr>
        <w:t xml:space="preserve">http://pravo.gov.ru</w:t>
      </w:r>
      <w:r>
        <w:rPr>
          <w:sz w:val="20"/>
        </w:rPr>
        <w:t xml:space="preserve">. Таким образом, сведения о необходимости источников финансирования предоставляемого заказчиками материального стимулирования были доступны для анализа и расчета объема необходимых затрат.</w:t>
      </w:r>
    </w:p>
    <w:p>
      <w:pPr>
        <w:pStyle w:val="0"/>
        <w:jc w:val="right"/>
      </w:pPr>
      <w:r>
        <w:rPr>
          <w:sz w:val="20"/>
        </w:rPr>
      </w:r>
    </w:p>
    <w:p>
      <w:pPr>
        <w:pStyle w:val="0"/>
        <w:jc w:val="right"/>
      </w:pPr>
      <w:r>
        <w:rPr>
          <w:sz w:val="20"/>
        </w:rPr>
        <w:t xml:space="preserve">Врио директора Департамента</w:t>
      </w:r>
    </w:p>
    <w:p>
      <w:pPr>
        <w:pStyle w:val="0"/>
        <w:jc w:val="right"/>
      </w:pPr>
      <w:r>
        <w:rPr>
          <w:sz w:val="20"/>
        </w:rPr>
        <w:t xml:space="preserve">государственной политики в сфере</w:t>
      </w:r>
    </w:p>
    <w:p>
      <w:pPr>
        <w:pStyle w:val="0"/>
        <w:jc w:val="right"/>
      </w:pPr>
      <w:r>
        <w:rPr>
          <w:sz w:val="20"/>
        </w:rPr>
        <w:t xml:space="preserve">высшего образования</w:t>
      </w:r>
    </w:p>
    <w:p>
      <w:pPr>
        <w:pStyle w:val="0"/>
        <w:jc w:val="right"/>
      </w:pPr>
      <w:r>
        <w:rPr>
          <w:sz w:val="20"/>
        </w:rPr>
        <w:t xml:space="preserve">Е.В.ТУМАКОВА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Минобрнауки России от 28.05.2024 N МН-5/1490-ДА</w:t>
            <w:br/>
            <w:t>"О направлении информации"</w:t>
            <w:br/>
            <w:t>(вместе с "Информационными материала...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44703" TargetMode = "External"/>
	<Relationship Id="rId8" Type="http://schemas.openxmlformats.org/officeDocument/2006/relationships/hyperlink" Target="https://login.consultant.ru/link/?req=doc&amp;base=RZB&amp;n=475586" TargetMode = "External"/>
	<Relationship Id="rId9" Type="http://schemas.openxmlformats.org/officeDocument/2006/relationships/hyperlink" Target="https://login.consultant.ru/link/?req=doc&amp;base=RZB&amp;n=444703" TargetMode = "External"/>
	<Relationship Id="rId10" Type="http://schemas.openxmlformats.org/officeDocument/2006/relationships/hyperlink" Target="https://login.consultant.ru/link/?req=doc&amp;base=RZB&amp;n=461363&amp;dst=917" TargetMode = "External"/>
	<Relationship Id="rId11" Type="http://schemas.openxmlformats.org/officeDocument/2006/relationships/hyperlink" Target="https://login.consultant.ru/link/?req=doc&amp;base=RZB&amp;n=444703" TargetMode = "External"/>
	<Relationship Id="rId12" Type="http://schemas.openxmlformats.org/officeDocument/2006/relationships/hyperlink" Target="https://login.consultant.ru/link/?req=doc&amp;base=RZB&amp;n=475586" TargetMode = "External"/>
	<Relationship Id="rId13" Type="http://schemas.openxmlformats.org/officeDocument/2006/relationships/hyperlink" Target="https://login.consultant.ru/link/?req=doc&amp;base=RZB&amp;n=475586&amp;dst=100021" TargetMode = "External"/>
	<Relationship Id="rId14" Type="http://schemas.openxmlformats.org/officeDocument/2006/relationships/hyperlink" Target="https://login.consultant.ru/link/?req=doc&amp;base=RZB&amp;n=461363&amp;dst=956" TargetMode = "External"/>
	<Relationship Id="rId15" Type="http://schemas.openxmlformats.org/officeDocument/2006/relationships/hyperlink" Target="https://login.consultant.ru/link/?req=doc&amp;base=RZB&amp;n=461363&amp;dst=956" TargetMode = "External"/>
	<Relationship Id="rId16" Type="http://schemas.openxmlformats.org/officeDocument/2006/relationships/hyperlink" Target="https://login.consultant.ru/link/?req=doc&amp;base=RZB&amp;n=475586&amp;dst=100302" TargetMode = "External"/>
	<Relationship Id="rId17" Type="http://schemas.openxmlformats.org/officeDocument/2006/relationships/hyperlink" Target="https://login.consultant.ru/link/?req=doc&amp;base=RZB&amp;n=470575&amp;dst=100007" TargetMode = "External"/>
	<Relationship Id="rId18" Type="http://schemas.openxmlformats.org/officeDocument/2006/relationships/hyperlink" Target="https://login.consultant.ru/link/?req=doc&amp;base=RZB&amp;n=475586&amp;dst=100301" TargetMode = "External"/>
	<Relationship Id="rId19" Type="http://schemas.openxmlformats.org/officeDocument/2006/relationships/hyperlink" Target="https://login.consultant.ru/link/?req=doc&amp;base=RZB&amp;n=475586&amp;dst=100304" TargetMode = "External"/>
	<Relationship Id="rId20" Type="http://schemas.openxmlformats.org/officeDocument/2006/relationships/hyperlink" Target="https://login.consultant.ru/link/?req=doc&amp;base=RZB&amp;n=461363&amp;dst=922" TargetMode = "External"/>
	<Relationship Id="rId21" Type="http://schemas.openxmlformats.org/officeDocument/2006/relationships/hyperlink" Target="https://login.consultant.ru/link/?req=doc&amp;base=RZB&amp;n=475586&amp;dst=100021" TargetMode = "External"/>
	<Relationship Id="rId22" Type="http://schemas.openxmlformats.org/officeDocument/2006/relationships/hyperlink" Target="https://login.consultant.ru/link/?req=doc&amp;base=RZB&amp;n=475586&amp;dst=100029" TargetMode = "External"/>
	<Relationship Id="rId23" Type="http://schemas.openxmlformats.org/officeDocument/2006/relationships/hyperlink" Target="https://login.consultant.ru/link/?req=doc&amp;base=RZB&amp;n=461363&amp;dst=959" TargetMode = "External"/>
	<Relationship Id="rId24" Type="http://schemas.openxmlformats.org/officeDocument/2006/relationships/hyperlink" Target="https://login.consultant.ru/link/?req=doc&amp;base=RZB&amp;n=461363&amp;dst=233" TargetMode = "External"/>
	<Relationship Id="rId25" Type="http://schemas.openxmlformats.org/officeDocument/2006/relationships/hyperlink" Target="https://login.consultant.ru/link/?req=doc&amp;base=RZB&amp;n=461363&amp;dst=959" TargetMode = "External"/>
	<Relationship Id="rId26" Type="http://schemas.openxmlformats.org/officeDocument/2006/relationships/hyperlink" Target="https://login.consultant.ru/link/?req=doc&amp;base=RZB&amp;n=461363&amp;dst=233" TargetMode = "External"/>
	<Relationship Id="rId27" Type="http://schemas.openxmlformats.org/officeDocument/2006/relationships/hyperlink" Target="https://login.consultant.ru/link/?req=doc&amp;base=RZB&amp;n=426618&amp;dst=100013" TargetMode = "External"/>
	<Relationship Id="rId28" Type="http://schemas.openxmlformats.org/officeDocument/2006/relationships/hyperlink" Target="https://login.consultant.ru/link/?req=doc&amp;base=RZB&amp;n=426618&amp;dst=100021" TargetMode = "External"/>
	<Relationship Id="rId29" Type="http://schemas.openxmlformats.org/officeDocument/2006/relationships/hyperlink" Target="https://login.consultant.ru/link/?req=doc&amp;base=RZB&amp;n=388864&amp;dst=100016" TargetMode = "External"/>
	<Relationship Id="rId30" Type="http://schemas.openxmlformats.org/officeDocument/2006/relationships/hyperlink" Target="https://login.consultant.ru/link/?req=doc&amp;base=RZB&amp;n=388864&amp;dst=100055" TargetMode = "External"/>
	<Relationship Id="rId31" Type="http://schemas.openxmlformats.org/officeDocument/2006/relationships/hyperlink" Target="https://login.consultant.ru/link/?req=doc&amp;base=RZB&amp;n=388864" TargetMode = "External"/>
	<Relationship Id="rId32" Type="http://schemas.openxmlformats.org/officeDocument/2006/relationships/hyperlink" Target="https://login.consultant.ru/link/?req=doc&amp;base=RZB&amp;n=388864&amp;dst=100058" TargetMode = "External"/>
	<Relationship Id="rId33" Type="http://schemas.openxmlformats.org/officeDocument/2006/relationships/hyperlink" Target="https://login.consultant.ru/link/?req=doc&amp;base=RZB&amp;n=388864&amp;dst=100035" TargetMode = "External"/>
	<Relationship Id="rId34" Type="http://schemas.openxmlformats.org/officeDocument/2006/relationships/hyperlink" Target="https://login.consultant.ru/link/?req=doc&amp;base=RZB&amp;n=461363&amp;dst=959" TargetMode = "External"/>
	<Relationship Id="rId35" Type="http://schemas.openxmlformats.org/officeDocument/2006/relationships/hyperlink" Target="https://login.consultant.ru/link/?req=doc&amp;base=RZB&amp;n=462891&amp;dst=100009" TargetMode = "External"/>
	<Relationship Id="rId36" Type="http://schemas.openxmlformats.org/officeDocument/2006/relationships/hyperlink" Target="https://login.consultant.ru/link/?req=doc&amp;base=RZB&amp;n=461363&amp;dst=959" TargetMode = "External"/>
	<Relationship Id="rId37" Type="http://schemas.openxmlformats.org/officeDocument/2006/relationships/hyperlink" Target="https://login.consultant.ru/link/?req=doc&amp;base=RZB&amp;n=444703" TargetMode = "External"/>
	<Relationship Id="rId38" Type="http://schemas.openxmlformats.org/officeDocument/2006/relationships/hyperlink" Target="https://login.consultant.ru/link/?req=doc&amp;base=RZB&amp;n=44470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28.05.2024 N МН-5/1490-ДА
"О направлении информации"
(вместе с "Информационными материалами по вопросам целевого обучения")</dc:title>
  <dcterms:created xsi:type="dcterms:W3CDTF">2024-06-10T12:52:11Z</dcterms:created>
</cp:coreProperties>
</file>