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04.10.2021 N 1336</w:t>
              <w:br/>
              <w:t xml:space="preserve">(ред. от 12.02.2025)</w:t>
              <w:br/>
              <w:t xml:space="preserve">"Об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br/>
              <w:t xml:space="preserve">(Зарегистрировано в Минюсте России 20.12.2021 N 66439)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декабря 2021 г. N 66439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октября 2021 г. N 1336</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ИСПОЛЬЗУЕМЫХ ПРИ ОСУЩЕСТВЛЕНИИ ФЕДЕРАЛЬНОГО ГОСУДАРСТВЕННОГО</w:t>
      </w:r>
    </w:p>
    <w:p>
      <w:pPr>
        <w:pStyle w:val="2"/>
        <w:jc w:val="center"/>
      </w:pPr>
      <w:r>
        <w:rPr>
          <w:sz w:val="20"/>
        </w:rPr>
        <w:t xml:space="preserve">КОНТРОЛЯ (НАДЗОРА) 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Рособрнадзора от 13.06.2023 </w:t>
            </w:r>
            <w:hyperlink w:history="0" r:id="rId8" w:tooltip="Приказ Рособрнадзора от 13.06.2023 N 107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8.07.2023 N 74512) {КонсультантПлюс}">
              <w:r>
                <w:rPr>
                  <w:sz w:val="20"/>
                  <w:color w:val="0000ff"/>
                </w:rPr>
                <w:t xml:space="preserve">N 1071</w:t>
              </w:r>
            </w:hyperlink>
            <w:r>
              <w:rPr>
                <w:sz w:val="20"/>
                <w:color w:val="392c69"/>
              </w:rPr>
              <w:t xml:space="preserve">,</w:t>
            </w:r>
          </w:p>
          <w:p>
            <w:pPr>
              <w:pStyle w:val="0"/>
              <w:jc w:val="center"/>
            </w:pPr>
            <w:r>
              <w:rPr>
                <w:sz w:val="20"/>
                <w:color w:val="392c69"/>
              </w:rPr>
              <w:t xml:space="preserve">от 31.08.2023 </w:t>
            </w:r>
            <w:hyperlink w:history="0" r:id="rId9" w:tooltip="Приказ Рособрнадзора от 31.08.2023 N 1587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13.10.2023 N 75567) {КонсультантПлюс}">
              <w:r>
                <w:rPr>
                  <w:sz w:val="20"/>
                  <w:color w:val="0000ff"/>
                </w:rPr>
                <w:t xml:space="preserve">N 1587</w:t>
              </w:r>
            </w:hyperlink>
            <w:r>
              <w:rPr>
                <w:sz w:val="20"/>
                <w:color w:val="392c69"/>
              </w:rPr>
              <w:t xml:space="preserve">, от 17.09.2024 </w:t>
            </w:r>
            <w:hyperlink w:history="0" r:id="rId10"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N 1801</w:t>
              </w:r>
            </w:hyperlink>
            <w:r>
              <w:rPr>
                <w:sz w:val="20"/>
                <w:color w:val="392c69"/>
              </w:rPr>
              <w:t xml:space="preserve">, от 12.02.2025 </w:t>
            </w:r>
            <w:hyperlink w:history="0" r:id="rId11" w:tooltip="Приказ Рособрнадзора от 12.02.2025 N 271 &quot;О внесении изменения в пункт 5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ого приказом Федеральной службы по надзору в сфере образования и науки от 4 октября 2021 г. N 1336&quot; (Зарегистрировано в Минюсте России 12.03.2025 N 81521) {КонсультантПлюс}">
              <w:r>
                <w:rPr>
                  <w:sz w:val="20"/>
                  <w:color w:val="0000ff"/>
                </w:rPr>
                <w:t xml:space="preserve">N 271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1 части 10 статьи 23</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w:history="0" r:id="rId1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w:t>
      </w:r>
      <w:hyperlink w:history="0" r:id="rId1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подпунктом 5.2.18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приказываю:</w:t>
      </w:r>
    </w:p>
    <w:p>
      <w:pPr>
        <w:pStyle w:val="0"/>
        <w:spacing w:before="200" w:lineRule="auto"/>
        <w:ind w:firstLine="540"/>
        <w:jc w:val="both"/>
      </w:pPr>
      <w:r>
        <w:rPr>
          <w:sz w:val="20"/>
        </w:rPr>
        <w:t xml:space="preserve">1. Утвердить прилагаемый </w:t>
      </w:r>
      <w:hyperlink w:history="0" w:anchor="P34" w:tooltip="ПЕРЕЧЕНЬ">
        <w:r>
          <w:rPr>
            <w:sz w:val="20"/>
            <w:color w:val="0000ff"/>
          </w:rPr>
          <w:t xml:space="preserve">перечень</w:t>
        </w:r>
      </w:hyperlink>
      <w:r>
        <w:rPr>
          <w:sz w:val="20"/>
        </w:rPr>
        <w:t xml:space="preserve">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r>
    </w:p>
    <w:p>
      <w:pPr>
        <w:pStyle w:val="0"/>
        <w:spacing w:before="200" w:lineRule="auto"/>
        <w:ind w:firstLine="540"/>
        <w:jc w:val="both"/>
      </w:pPr>
      <w:r>
        <w:rPr>
          <w:sz w:val="20"/>
        </w:rPr>
        <w:t xml:space="preserve">2. Настоящий приказ вступает в силу с 1 марта 2022 года.</w:t>
      </w:r>
    </w:p>
    <w:p>
      <w:pPr>
        <w:pStyle w:val="0"/>
        <w:ind w:firstLine="540"/>
        <w:jc w:val="both"/>
      </w:pPr>
      <w:r>
        <w:rPr>
          <w:sz w:val="20"/>
        </w:rPr>
      </w:r>
    </w:p>
    <w:p>
      <w:pPr>
        <w:pStyle w:val="0"/>
        <w:jc w:val="right"/>
      </w:pPr>
      <w:r>
        <w:rPr>
          <w:sz w:val="20"/>
        </w:rPr>
        <w:t xml:space="preserve">И.о. руководителя</w:t>
      </w:r>
    </w:p>
    <w:p>
      <w:pPr>
        <w:pStyle w:val="0"/>
        <w:jc w:val="right"/>
      </w:pPr>
      <w:r>
        <w:rPr>
          <w:sz w:val="20"/>
        </w:rPr>
        <w:t xml:space="preserve">И.К.КРУГЛИНСКИЙ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Федеральной службы</w:t>
      </w:r>
    </w:p>
    <w:p>
      <w:pPr>
        <w:pStyle w:val="0"/>
        <w:jc w:val="right"/>
      </w:pPr>
      <w:r>
        <w:rPr>
          <w:sz w:val="20"/>
        </w:rPr>
        <w:t xml:space="preserve">по надзору в сфере</w:t>
      </w:r>
    </w:p>
    <w:p>
      <w:pPr>
        <w:pStyle w:val="0"/>
        <w:jc w:val="right"/>
      </w:pPr>
      <w:r>
        <w:rPr>
          <w:sz w:val="20"/>
        </w:rPr>
        <w:t xml:space="preserve">образования и науки</w:t>
      </w:r>
    </w:p>
    <w:p>
      <w:pPr>
        <w:pStyle w:val="0"/>
        <w:jc w:val="right"/>
      </w:pPr>
      <w:r>
        <w:rPr>
          <w:sz w:val="20"/>
        </w:rPr>
        <w:t xml:space="preserve">от 04.10.2021 N 1336</w:t>
      </w:r>
    </w:p>
    <w:p>
      <w:pPr>
        <w:pStyle w:val="0"/>
        <w:jc w:val="right"/>
      </w:pPr>
      <w:r>
        <w:rPr>
          <w:sz w:val="20"/>
        </w:rPr>
      </w:r>
    </w:p>
    <w:bookmarkStart w:id="34" w:name="P34"/>
    <w:bookmarkEnd w:id="34"/>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ИСПОЛЬЗУЕМЫХ ПРИ ОСУЩЕСТВЛЕНИИ ФЕДЕРАЛЬНОГО ГОСУДАРСТВЕННОГО</w:t>
      </w:r>
    </w:p>
    <w:p>
      <w:pPr>
        <w:pStyle w:val="2"/>
        <w:jc w:val="center"/>
      </w:pPr>
      <w:r>
        <w:rPr>
          <w:sz w:val="20"/>
        </w:rPr>
        <w:t xml:space="preserve">КОНТРОЛЯ (НАДЗОРА) 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Рособрнадзора от 13.06.2023 </w:t>
            </w:r>
            <w:hyperlink w:history="0" r:id="rId15" w:tooltip="Приказ Рособрнадзора от 13.06.2023 N 107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8.07.2023 N 74512) {КонсультантПлюс}">
              <w:r>
                <w:rPr>
                  <w:sz w:val="20"/>
                  <w:color w:val="0000ff"/>
                </w:rPr>
                <w:t xml:space="preserve">N 1071</w:t>
              </w:r>
            </w:hyperlink>
            <w:r>
              <w:rPr>
                <w:sz w:val="20"/>
                <w:color w:val="392c69"/>
              </w:rPr>
              <w:t xml:space="preserve">,</w:t>
            </w:r>
          </w:p>
          <w:p>
            <w:pPr>
              <w:pStyle w:val="0"/>
              <w:jc w:val="center"/>
            </w:pPr>
            <w:r>
              <w:rPr>
                <w:sz w:val="20"/>
                <w:color w:val="392c69"/>
              </w:rPr>
              <w:t xml:space="preserve">от 31.08.2023 </w:t>
            </w:r>
            <w:hyperlink w:history="0" r:id="rId16" w:tooltip="Приказ Рособрнадзора от 31.08.2023 N 1587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13.10.2023 N 75567) {КонсультантПлюс}">
              <w:r>
                <w:rPr>
                  <w:sz w:val="20"/>
                  <w:color w:val="0000ff"/>
                </w:rPr>
                <w:t xml:space="preserve">N 1587</w:t>
              </w:r>
            </w:hyperlink>
            <w:r>
              <w:rPr>
                <w:sz w:val="20"/>
                <w:color w:val="392c69"/>
              </w:rPr>
              <w:t xml:space="preserve">, от 17.09.2024 </w:t>
            </w:r>
            <w:hyperlink w:history="0" r:id="rId17"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N 1801</w:t>
              </w:r>
            </w:hyperlink>
            <w:r>
              <w:rPr>
                <w:sz w:val="20"/>
                <w:color w:val="392c69"/>
              </w:rPr>
              <w:t xml:space="preserve">, от 12.02.2025 </w:t>
            </w:r>
            <w:hyperlink w:history="0" r:id="rId18" w:tooltip="Приказ Рособрнадзора от 12.02.2025 N 271 &quot;О внесении изменения в пункт 5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ого приказом Федеральной службы по надзору в сфере образования и науки от 4 октября 2021 г. N 1336&quot; (Зарегистрировано в Минюсте России 12.03.2025 N 81521) {КонсультантПлюс}">
              <w:r>
                <w:rPr>
                  <w:sz w:val="20"/>
                  <w:color w:val="0000ff"/>
                </w:rPr>
                <w:t xml:space="preserve">N 271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Непредставление в течение календарного года организацией, осуществляющей образовательную деятельность по основным общеобразовательным программам основного общего образования не менее шести лет на основании лицензии на осуществление образовательной деятельности, оператору федеральной информационной системы "Федеральный реестр сведений о документах об образовании и (или) о квалификации, документах об обучении" (далее - ФИС ФРДО) сведений о документах об образовании в порядке, установленном </w:t>
      </w:r>
      <w:hyperlink w:history="0" r:id="rId1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утвержденными постановлением Правительства Российской Федерации от 31 мая 2021 г. N 825 &lt;1&gt; (далее - Правила).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2021, N 23, ст. 4069; 2021, N 30, ст. 5799.</w:t>
      </w:r>
    </w:p>
    <w:p>
      <w:pPr>
        <w:pStyle w:val="0"/>
        <w:ind w:firstLine="540"/>
        <w:jc w:val="both"/>
      </w:pPr>
      <w:r>
        <w:rPr>
          <w:sz w:val="20"/>
        </w:rPr>
      </w:r>
    </w:p>
    <w:p>
      <w:pPr>
        <w:pStyle w:val="0"/>
        <w:ind w:firstLine="540"/>
        <w:jc w:val="both"/>
      </w:pPr>
      <w:r>
        <w:rPr>
          <w:sz w:val="20"/>
        </w:rPr>
        <w:t xml:space="preserve">2. Непредставление в течение календарного года организацией, осуществляющей образовательную деятельность по основным общеобразовательным программам среднего общего образования не менее трех лет на основании лицензии на осуществление образовательной деятельности, оператору ФИС ФРДО сведений о документах об образовании в порядке, установленном </w:t>
      </w:r>
      <w:hyperlink w:history="0" r:id="rId20"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3. Непредставление в течение семи месяцев организацией, осуществляющей образовательную деятельность по дополнительным профессиональным программам и (или) основным программам профессионального обучения не менее шести месяцев на основании лицензии на осуществление образовательной деятельности, оператору ФИС ФРДО сведений о документах о квалификации в порядке, установленном </w:t>
      </w:r>
      <w:hyperlink w:history="0" r:id="rId21"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4.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среднего профессионального образования не менее пяти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w:history="0" r:id="rId22"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5.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бакалавриата не менее пяти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w:history="0" r:id="rId23"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jc w:val="both"/>
      </w:pPr>
      <w:r>
        <w:rPr>
          <w:sz w:val="20"/>
        </w:rPr>
        <w:t xml:space="preserve">(в ред. </w:t>
      </w:r>
      <w:hyperlink w:history="0" r:id="rId24" w:tooltip="Приказ Рособрнадзора от 12.02.2025 N 271 &quot;О внесении изменения в пункт 5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ого приказом Федеральной службы по надзору в сфере образования и науки от 4 октября 2021 г. N 1336&quot; (Зарегистрировано в Минюсте России 12.03.2025 N 81521) {КонсультантПлюс}">
        <w:r>
          <w:rPr>
            <w:sz w:val="20"/>
            <w:color w:val="0000ff"/>
          </w:rPr>
          <w:t xml:space="preserve">Приказа</w:t>
        </w:r>
      </w:hyperlink>
      <w:r>
        <w:rPr>
          <w:sz w:val="20"/>
        </w:rPr>
        <w:t xml:space="preserve"> Рособрнадзора от 12.02.2025 N 271)</w:t>
      </w:r>
    </w:p>
    <w:p>
      <w:pPr>
        <w:pStyle w:val="0"/>
        <w:spacing w:before="200" w:lineRule="auto"/>
        <w:ind w:firstLine="540"/>
        <w:jc w:val="both"/>
      </w:pPr>
      <w:r>
        <w:rPr>
          <w:sz w:val="20"/>
        </w:rPr>
        <w:t xml:space="preserve">6.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специалитета не менее шести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w:history="0" r:id="rId25"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7. Непредставление в течение календарного года организацией, осуществляющей образовательную деятельность по основным профессиональным образовательным программам высшего образования - программам магистратуры, программам ординатуры, программам ассистентуры-стажировки не менее трех лет на основании лицензии на осуществление образовательной деятельности, оператору ФИС ФРДО сведений о документах об образовании и о квалификации в порядке, установленном </w:t>
      </w:r>
      <w:hyperlink w:history="0" r:id="rId26"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8. Отсутствие доступа к открытым и общедоступным информационным ресурсам, содержащим информацию о деятельности образовательной организации, подлежащую размещению в информационно-телекоммуникационных сетях, в том числе на официальном сайте образовательной организации в сети "Интернет" &lt;2&gt;,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 в период осуществления в соответствии со </w:t>
      </w:r>
      <w:hyperlink w:history="0" r:id="rId27" w:tooltip="Федеральный закон от 29.12.2012 N 273-ФЗ (ред. от 08.03.2026) &quot;Об образовании в Российской Федерации&quot; {КонсультантПлюс}">
        <w:r>
          <w:rPr>
            <w:sz w:val="20"/>
            <w:color w:val="0000ff"/>
          </w:rPr>
          <w:t xml:space="preserve">статьей 97</w:t>
        </w:r>
      </w:hyperlink>
      <w:r>
        <w:rPr>
          <w:sz w:val="20"/>
        </w:rPr>
        <w:t xml:space="preserve"> Федерального закона от 29 декабря 2012 г. N 273-ФЗ "Об образовании в Российской Федерации" мониторинга системы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Часть 2 статьи 29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24, ст. 4188).</w:t>
      </w:r>
    </w:p>
    <w:p>
      <w:pPr>
        <w:pStyle w:val="0"/>
        <w:spacing w:before="200" w:lineRule="auto"/>
        <w:ind w:firstLine="540"/>
        <w:jc w:val="both"/>
      </w:pPr>
      <w:r>
        <w:rPr>
          <w:sz w:val="20"/>
        </w:rPr>
        <w:t xml:space="preserve">&lt;3&gt; </w:t>
      </w:r>
      <w:hyperlink w:history="0" r:id="rId2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Постановление</w:t>
        </w:r>
      </w:hyperlink>
      <w:r>
        <w:rPr>
          <w:sz w:val="20"/>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 2020, N 11, ст. 1566), </w:t>
      </w:r>
      <w:hyperlink w:history="0" r:id="rId30" w:tooltip="Приказ Рособрнадзора от 10.06.2019 N 796 (ред. от 20.01.2022) &quot;Об установлении процедуры, сроков проведения и показателей мониторинга системы образования Федеральной службой по надзору в сфере образования и науки&quot; (Зарегистрировано в Минюсте России 24.09.2019 N 56043) ------------ Утратил силу или отменен {КонсультантПлюс}">
        <w:r>
          <w:rPr>
            <w:sz w:val="20"/>
            <w:color w:val="0000ff"/>
          </w:rPr>
          <w:t xml:space="preserve">приказ</w:t>
        </w:r>
      </w:hyperlink>
      <w:r>
        <w:rPr>
          <w:sz w:val="20"/>
        </w:rPr>
        <w:t xml:space="preserve"> Рособрнадзора от 10 июня 2019 г. N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(зарегистрирован Минюстом России 24 сентября 2019 г., регистрационный N 56043), с изменениями, утвержденными приказами Рособрнадзора от 7 апреля 2020 г. N 494 (зарегистрирован Минюстом России 13 мая 2020 г., регистрационный N 58327), от 29 марта 2021 г. N 365 (зарегистрирован Минюстом России 10 июня 2021 г., регистрационный N 63844).</w:t>
      </w:r>
    </w:p>
    <w:p>
      <w:pPr>
        <w:pStyle w:val="0"/>
        <w:ind w:firstLine="540"/>
        <w:jc w:val="both"/>
      </w:pPr>
      <w:r>
        <w:rPr>
          <w:sz w:val="20"/>
        </w:rPr>
      </w:r>
    </w:p>
    <w:p>
      <w:pPr>
        <w:pStyle w:val="0"/>
        <w:ind w:firstLine="540"/>
        <w:jc w:val="both"/>
      </w:pPr>
      <w:r>
        <w:rPr>
          <w:sz w:val="20"/>
        </w:rPr>
        <w:t xml:space="preserve">9. Превышение в два и более раза численности обучающихся на втором и (или) последующих годах обучения по новым образовательным программам (за исключением образовательных программ, реализация которых осуществляется с использованием сетевой формы реализации образовательных программ) по сравнению с численностью обучающихся на первом году обучения по указанным программам в текущем учебном году при условии, что реестр лицензий на осуществление образовательной деятельности &lt;4&gt; был дополнен сведениями о соответствующих профессиях, специальностях, направлениях подготовки, уровнях образования в течение предыдущего учебного года.</w:t>
      </w:r>
    </w:p>
    <w:p>
      <w:pPr>
        <w:pStyle w:val="0"/>
        <w:jc w:val="both"/>
      </w:pPr>
      <w:r>
        <w:rPr>
          <w:sz w:val="20"/>
        </w:rPr>
        <w:t xml:space="preserve">(п. 9 введен </w:t>
      </w:r>
      <w:hyperlink w:history="0" r:id="rId31" w:tooltip="Приказ Рособрнадзора от 13.06.2023 N 107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8.07.2023 N 74512) {КонсультантПлюс}">
        <w:r>
          <w:rPr>
            <w:sz w:val="20"/>
            <w:color w:val="0000ff"/>
          </w:rPr>
          <w:t xml:space="preserve">Приказом</w:t>
        </w:r>
      </w:hyperlink>
      <w:r>
        <w:rPr>
          <w:sz w:val="20"/>
        </w:rPr>
        <w:t xml:space="preserve"> Рособрнадзора от 13.06.2023 N 1071)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t xml:space="preserve">(сноска введена </w:t>
      </w:r>
      <w:hyperlink w:history="0" r:id="rId33" w:tooltip="Приказ Рособрнадзора от 13.06.2023 N 107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8.07.2023 N 74512) {КонсультантПлюс}">
        <w:r>
          <w:rPr>
            <w:sz w:val="20"/>
            <w:color w:val="0000ff"/>
          </w:rPr>
          <w:t xml:space="preserve">Приказом</w:t>
        </w:r>
      </w:hyperlink>
      <w:r>
        <w:rPr>
          <w:sz w:val="20"/>
        </w:rPr>
        <w:t xml:space="preserve"> Рособрнадзора от 13.06.2023 N 1071)</w:t>
      </w:r>
    </w:p>
    <w:p>
      <w:pPr>
        <w:pStyle w:val="0"/>
        <w:ind w:firstLine="540"/>
        <w:jc w:val="both"/>
      </w:pPr>
      <w:r>
        <w:rPr>
          <w:sz w:val="20"/>
        </w:rPr>
      </w:r>
    </w:p>
    <w:p>
      <w:pPr>
        <w:pStyle w:val="0"/>
        <w:ind w:firstLine="540"/>
        <w:jc w:val="both"/>
      </w:pPr>
      <w:r>
        <w:rPr>
          <w:sz w:val="20"/>
        </w:rPr>
        <w:t xml:space="preserve">10. Количество документов об образовании и о квалификации, сведения о которых представлены организацией, осуществляющей образовательную деятельность на основании лицензии на осуществление образовательной деятельности, по истечении установленного образовательной программой срока получения образования оператору ФИС ФРДО в порядке, установленном </w:t>
      </w:r>
      <w:hyperlink w:history="0" r:id="rId34"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 составляет менее 50% от численности обучающихся, принятых на обучение в данную организацию для получения среднего профессионального или высшего образования по этой образовательной программе, при условии, что в период срока получения образования данная организация не была лишена государственной аккредитации образовательной деятельности или действие предоставленной этой организации лицензии на осуществление образовательной деятельности не было приостановлено полностью или частично, не проходила процедуру реорганизации.</w:t>
      </w:r>
    </w:p>
    <w:p>
      <w:pPr>
        <w:pStyle w:val="0"/>
        <w:jc w:val="both"/>
      </w:pPr>
      <w:r>
        <w:rPr>
          <w:sz w:val="20"/>
        </w:rPr>
        <w:t xml:space="preserve">(п. 10 введен </w:t>
      </w:r>
      <w:hyperlink w:history="0" r:id="rId35" w:tooltip="Приказ Рособрнадзора от 31.08.2023 N 1587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13.10.2023 N 75567) {КонсультантПлюс}">
        <w:r>
          <w:rPr>
            <w:sz w:val="20"/>
            <w:color w:val="0000ff"/>
          </w:rPr>
          <w:t xml:space="preserve">Приказом</w:t>
        </w:r>
      </w:hyperlink>
      <w:r>
        <w:rPr>
          <w:sz w:val="20"/>
        </w:rPr>
        <w:t xml:space="preserve"> Рособрнадзора от 31.08.2023 N 1587)</w:t>
      </w:r>
    </w:p>
    <w:p>
      <w:pPr>
        <w:pStyle w:val="0"/>
        <w:spacing w:before="200" w:lineRule="auto"/>
        <w:ind w:firstLine="540"/>
        <w:jc w:val="both"/>
      </w:pPr>
      <w:r>
        <w:rPr>
          <w:sz w:val="20"/>
        </w:rPr>
        <w:t xml:space="preserve">11. Количество документов об образовании и о квалификации, сведения о которых представлены организацией, осуществляющей образовательную деятельность на основании лицензии на осуществление образовательной деятельности, оператору ФИС ФРДО по истечении установленного образовательной программой срока получения образования в порядке, установленном </w:t>
      </w:r>
      <w:hyperlink w:history="0" r:id="rId36"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Правилами</w:t>
        </w:r>
      </w:hyperlink>
      <w:r>
        <w:rPr>
          <w:sz w:val="20"/>
        </w:rPr>
        <w:t xml:space="preserve">, в два и более раз превышает численность обучающихся, принятых на обучение в данную организацию для получения среднего профессионального или высшего образования по этой образовательной программе, при условии, что в период срока получения образования данная организация не проходила процедуру реорганизации.</w:t>
      </w:r>
    </w:p>
    <w:p>
      <w:pPr>
        <w:pStyle w:val="0"/>
        <w:jc w:val="both"/>
      </w:pPr>
      <w:r>
        <w:rPr>
          <w:sz w:val="20"/>
        </w:rPr>
        <w:t xml:space="preserve">(п. 11 введен </w:t>
      </w:r>
      <w:hyperlink w:history="0" r:id="rId37" w:tooltip="Приказ Рособрнадзора от 31.08.2023 N 1587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13.10.2023 N 75567) {КонсультантПлюс}">
        <w:r>
          <w:rPr>
            <w:sz w:val="20"/>
            <w:color w:val="0000ff"/>
          </w:rPr>
          <w:t xml:space="preserve">Приказом</w:t>
        </w:r>
      </w:hyperlink>
      <w:r>
        <w:rPr>
          <w:sz w:val="20"/>
        </w:rPr>
        <w:t xml:space="preserve"> Рособрнадзора от 31.08.2023 N 1587)</w:t>
      </w:r>
    </w:p>
    <w:p>
      <w:pPr>
        <w:pStyle w:val="0"/>
        <w:spacing w:before="200" w:lineRule="auto"/>
        <w:ind w:firstLine="540"/>
        <w:jc w:val="both"/>
      </w:pPr>
      <w:r>
        <w:rPr>
          <w:sz w:val="20"/>
        </w:rPr>
        <w:t xml:space="preserve">12. Отсутствие доступа к открытым и общедоступным информационным ресурсам, содержащим информацию о деятельности образовательной организации, подлежащую размещению в информационно-телекоммуникационных сетях, в том числе на официальном сайте образовательной организации в сети "Интернет", зафиксированное Федеральной службой по надзору в сфере образования и науки или органом исполнительной власти субъекта Российской Федерации не менее трех раз с периодичностью не чаще одного раза в неделю в период осуществления в соответствии со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74</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наблюдения за соблюдением обязательных требований (мониторинга безопасности), проводимого на основании задания руководителя (заместителя руководителя) Федеральной службы по надзору в сфере образования и науки или органа исполнительной власти субъекта Российской Федерации &lt;5&gt;.</w:t>
      </w:r>
    </w:p>
    <w:p>
      <w:pPr>
        <w:pStyle w:val="0"/>
        <w:jc w:val="both"/>
      </w:pPr>
      <w:r>
        <w:rPr>
          <w:sz w:val="20"/>
        </w:rPr>
        <w:t xml:space="preserve">(п. 12 введен </w:t>
      </w:r>
      <w:hyperlink w:history="0" r:id="rId39"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40"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Пункт 61</w:t>
        </w:r>
      </w:hyperlink>
      <w:r>
        <w:rPr>
          <w:sz w:val="20"/>
        </w:rPr>
        <w:t xml:space="preserve"> Положения о федеральном государственном контроле (надзоре) в сфере образования, утвержденного постановлением Правительства Российской Федерации от 25 июня 2021 г. N 997.</w:t>
      </w:r>
    </w:p>
    <w:p>
      <w:pPr>
        <w:pStyle w:val="0"/>
        <w:jc w:val="both"/>
      </w:pPr>
      <w:r>
        <w:rPr>
          <w:sz w:val="20"/>
        </w:rPr>
        <w:t xml:space="preserve">(сноска введена </w:t>
      </w:r>
      <w:hyperlink w:history="0" r:id="rId41"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ind w:firstLine="540"/>
        <w:jc w:val="both"/>
      </w:pPr>
      <w:r>
        <w:rPr>
          <w:sz w:val="20"/>
        </w:rPr>
      </w:r>
    </w:p>
    <w:p>
      <w:pPr>
        <w:pStyle w:val="0"/>
        <w:ind w:firstLine="540"/>
        <w:jc w:val="both"/>
      </w:pPr>
      <w:r>
        <w:rPr>
          <w:sz w:val="20"/>
        </w:rPr>
        <w:t xml:space="preserve">13. Наличие в организации, осуществляющей образовательную деятельность, в течение календарного года 10% и более выпускников, не набравших минимального количества первичных баллов, подтверждающих освоение образовательных программ основного общего образования, по одному из обязательных учебных предметов при прохождении государственной итоговой аттестации по основным общеобразовательным программам основного общего образования, от общего количества выпускников.</w:t>
      </w:r>
    </w:p>
    <w:p>
      <w:pPr>
        <w:pStyle w:val="0"/>
        <w:jc w:val="both"/>
      </w:pPr>
      <w:r>
        <w:rPr>
          <w:sz w:val="20"/>
        </w:rPr>
        <w:t xml:space="preserve">(п. 13 введен </w:t>
      </w:r>
      <w:hyperlink w:history="0" r:id="rId42"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spacing w:before="200" w:lineRule="auto"/>
        <w:ind w:firstLine="540"/>
        <w:jc w:val="both"/>
      </w:pPr>
      <w:r>
        <w:rPr>
          <w:sz w:val="20"/>
        </w:rPr>
        <w:t xml:space="preserve">14. Наличие в организации, осуществляющей образовательную деятельность, в течение календарного года 20% и более выпускников, получивших неудовлетворительный результат ("незачет") по итоговому собеседованию по русскому языку в основную или дополнительные даты проведения итогового собеседования по русскому языку, от общего количества выпускников.</w:t>
      </w:r>
    </w:p>
    <w:p>
      <w:pPr>
        <w:pStyle w:val="0"/>
        <w:jc w:val="both"/>
      </w:pPr>
      <w:r>
        <w:rPr>
          <w:sz w:val="20"/>
        </w:rPr>
        <w:t xml:space="preserve">(п. 14 введен </w:t>
      </w:r>
      <w:hyperlink w:history="0" r:id="rId43"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spacing w:before="200" w:lineRule="auto"/>
        <w:ind w:firstLine="540"/>
        <w:jc w:val="both"/>
      </w:pPr>
      <w:r>
        <w:rPr>
          <w:sz w:val="20"/>
        </w:rPr>
        <w:t xml:space="preserve">15. Наличие в организации, осуществляющей образовательную деятельность, в течение календарного года 10% и более выпускников, не набравших минимального количества баллов единого государственного экзамена, подтверждающее освоение образовательной программы среднего общего образования, или при сдаче государственного выпускного экзамена, получивших отметку ниже удовлетворительной, по одному из обязательных учебных предметов при прохождении государственной итоговой аттестации по основной общеобразовательной программе среднего общего образования, от общего количества выпускников.</w:t>
      </w:r>
    </w:p>
    <w:p>
      <w:pPr>
        <w:pStyle w:val="0"/>
        <w:jc w:val="both"/>
      </w:pPr>
      <w:r>
        <w:rPr>
          <w:sz w:val="20"/>
        </w:rPr>
        <w:t xml:space="preserve">(п. 15 введен </w:t>
      </w:r>
      <w:hyperlink w:history="0" r:id="rId44"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spacing w:before="200" w:lineRule="auto"/>
        <w:ind w:firstLine="540"/>
        <w:jc w:val="both"/>
      </w:pPr>
      <w:r>
        <w:rPr>
          <w:sz w:val="20"/>
        </w:rPr>
        <w:t xml:space="preserve">16. Наличие в организации, осуществляющей образовательную деятельность, в течение календарного года 20% и более выпускников, получивших неудовлетворительный результат ("незачет") по итоговому сочинению (изложению) в основную или дополнительные даты проведения итогового сочинения (изложения), от общего количества выпускников.</w:t>
      </w:r>
    </w:p>
    <w:p>
      <w:pPr>
        <w:pStyle w:val="0"/>
        <w:jc w:val="both"/>
      </w:pPr>
      <w:r>
        <w:rPr>
          <w:sz w:val="20"/>
        </w:rPr>
        <w:t xml:space="preserve">(п. 16 введен </w:t>
      </w:r>
      <w:hyperlink w:history="0" r:id="rId45"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spacing w:before="200" w:lineRule="auto"/>
        <w:ind w:firstLine="540"/>
        <w:jc w:val="both"/>
      </w:pPr>
      <w:r>
        <w:rPr>
          <w:sz w:val="20"/>
        </w:rPr>
        <w:t xml:space="preserve">17. Более 25% обучающихся, принимавших участие в диагностической работе, не выполнили 50% и более заданий диагностической работы в ходе оценивания достижения обучающимися результатов обучения при проведении аккредитационной экспертизы основной образовательной программы.</w:t>
      </w:r>
    </w:p>
    <w:p>
      <w:pPr>
        <w:pStyle w:val="0"/>
        <w:jc w:val="both"/>
      </w:pPr>
      <w:r>
        <w:rPr>
          <w:sz w:val="20"/>
        </w:rPr>
        <w:t xml:space="preserve">(п. 17 введен </w:t>
      </w:r>
      <w:hyperlink w:history="0" r:id="rId46" w:tooltip="Приказ Рособрнадзора от 17.09.2024 N 1801 &quo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N 1336&quot; (Зарегистрировано в Минюсте России 21.10.2024 N 79831) {КонсультантПлюс}">
        <w:r>
          <w:rPr>
            <w:sz w:val="20"/>
            <w:color w:val="0000ff"/>
          </w:rPr>
          <w:t xml:space="preserve">Приказом</w:t>
        </w:r>
      </w:hyperlink>
      <w:r>
        <w:rPr>
          <w:sz w:val="20"/>
        </w:rPr>
        <w:t xml:space="preserve"> Рособрнадзора от 17.09.2024 N 1801)</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04.10.2021 N 1336</w:t>
            <w:br/>
            <w:t>(ред. от 12.02.2025)</w:t>
            <w:br/>
            <w:t>"Об утверждении перечня индикаторов риска нарушения обяза...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3515&amp;dst=100006" TargetMode = "External"/><Relationship Id="rId9" Type="http://schemas.openxmlformats.org/officeDocument/2006/relationships/hyperlink" Target="https://login.consultant.ru/link/?req=doc&amp;base=LAW&amp;n=459573&amp;dst=100006" TargetMode = "External"/><Relationship Id="rId10" Type="http://schemas.openxmlformats.org/officeDocument/2006/relationships/hyperlink" Target="https://login.consultant.ru/link/?req=doc&amp;base=LAW&amp;n=488585&amp;dst=100006" TargetMode = "External"/><Relationship Id="rId11" Type="http://schemas.openxmlformats.org/officeDocument/2006/relationships/hyperlink" Target="https://login.consultant.ru/link/?req=doc&amp;base=LAW&amp;n=500713&amp;dst=100006" TargetMode = "External"/><Relationship Id="rId12" Type="http://schemas.openxmlformats.org/officeDocument/2006/relationships/hyperlink" Target="https://login.consultant.ru/link/?req=doc&amp;base=LAW&amp;n=508984&amp;dst=100271" TargetMode = "External"/><Relationship Id="rId13" Type="http://schemas.openxmlformats.org/officeDocument/2006/relationships/hyperlink" Target="https://login.consultant.ru/link/?req=doc&amp;base=LAW&amp;n=517330&amp;dst=100013" TargetMode = "External"/><Relationship Id="rId14" Type="http://schemas.openxmlformats.org/officeDocument/2006/relationships/hyperlink" Target="https://login.consultant.ru/link/?req=doc&amp;base=LAW&amp;n=517330&amp;dst=100038" TargetMode = "External"/><Relationship Id="rId15" Type="http://schemas.openxmlformats.org/officeDocument/2006/relationships/hyperlink" Target="https://login.consultant.ru/link/?req=doc&amp;base=LAW&amp;n=453515&amp;dst=100006" TargetMode = "External"/><Relationship Id="rId16" Type="http://schemas.openxmlformats.org/officeDocument/2006/relationships/hyperlink" Target="https://login.consultant.ru/link/?req=doc&amp;base=LAW&amp;n=459573&amp;dst=100006" TargetMode = "External"/><Relationship Id="rId17" Type="http://schemas.openxmlformats.org/officeDocument/2006/relationships/hyperlink" Target="https://login.consultant.ru/link/?req=doc&amp;base=LAW&amp;n=488585&amp;dst=100006" TargetMode = "External"/><Relationship Id="rId18" Type="http://schemas.openxmlformats.org/officeDocument/2006/relationships/hyperlink" Target="https://login.consultant.ru/link/?req=doc&amp;base=LAW&amp;n=500713&amp;dst=100006" TargetMode = "External"/><Relationship Id="rId19" Type="http://schemas.openxmlformats.org/officeDocument/2006/relationships/hyperlink" Target="https://login.consultant.ru/link/?req=doc&amp;base=LAW&amp;n=518091&amp;dst=100023" TargetMode = "External"/><Relationship Id="rId20" Type="http://schemas.openxmlformats.org/officeDocument/2006/relationships/hyperlink" Target="https://login.consultant.ru/link/?req=doc&amp;base=LAW&amp;n=518091&amp;dst=100023" TargetMode = "External"/><Relationship Id="rId21" Type="http://schemas.openxmlformats.org/officeDocument/2006/relationships/hyperlink" Target="https://login.consultant.ru/link/?req=doc&amp;base=LAW&amp;n=518091&amp;dst=100023" TargetMode = "External"/><Relationship Id="rId22" Type="http://schemas.openxmlformats.org/officeDocument/2006/relationships/hyperlink" Target="https://login.consultant.ru/link/?req=doc&amp;base=LAW&amp;n=518091&amp;dst=100023" TargetMode = "External"/><Relationship Id="rId23" Type="http://schemas.openxmlformats.org/officeDocument/2006/relationships/hyperlink" Target="https://login.consultant.ru/link/?req=doc&amp;base=LAW&amp;n=518091&amp;dst=100023" TargetMode = "External"/><Relationship Id="rId24" Type="http://schemas.openxmlformats.org/officeDocument/2006/relationships/hyperlink" Target="https://login.consultant.ru/link/?req=doc&amp;base=LAW&amp;n=500713&amp;dst=100006" TargetMode = "External"/><Relationship Id="rId25" Type="http://schemas.openxmlformats.org/officeDocument/2006/relationships/hyperlink" Target="https://login.consultant.ru/link/?req=doc&amp;base=LAW&amp;n=518091&amp;dst=100023" TargetMode = "External"/><Relationship Id="rId26" Type="http://schemas.openxmlformats.org/officeDocument/2006/relationships/hyperlink" Target="https://login.consultant.ru/link/?req=doc&amp;base=LAW&amp;n=518091&amp;dst=100023" TargetMode = "External"/><Relationship Id="rId27" Type="http://schemas.openxmlformats.org/officeDocument/2006/relationships/hyperlink" Target="https://login.consultant.ru/link/?req=doc&amp;base=LAW&amp;n=528383&amp;dst=101317" TargetMode = "External"/><Relationship Id="rId28" Type="http://schemas.openxmlformats.org/officeDocument/2006/relationships/hyperlink" Target="https://login.consultant.ru/link/?req=doc&amp;base=LAW&amp;n=528383&amp;dst=100413" TargetMode = "External"/><Relationship Id="rId29" Type="http://schemas.openxmlformats.org/officeDocument/2006/relationships/hyperlink" Target="https://login.consultant.ru/link/?req=doc&amp;base=LAW&amp;n=412807" TargetMode = "External"/><Relationship Id="rId30" Type="http://schemas.openxmlformats.org/officeDocument/2006/relationships/hyperlink" Target="https://login.consultant.ru/link/?req=doc&amp;base=LAW&amp;n=414052" TargetMode = "External"/><Relationship Id="rId31" Type="http://schemas.openxmlformats.org/officeDocument/2006/relationships/hyperlink" Target="https://login.consultant.ru/link/?req=doc&amp;base=LAW&amp;n=453515&amp;dst=100010" TargetMode = "External"/><Relationship Id="rId32" Type="http://schemas.openxmlformats.org/officeDocument/2006/relationships/hyperlink" Target="https://login.consultant.ru/link/?req=doc&amp;base=LAW&amp;n=528383&amp;dst=512" TargetMode = "External"/><Relationship Id="rId33" Type="http://schemas.openxmlformats.org/officeDocument/2006/relationships/hyperlink" Target="https://login.consultant.ru/link/?req=doc&amp;base=LAW&amp;n=453515&amp;dst=100013" TargetMode = "External"/><Relationship Id="rId34" Type="http://schemas.openxmlformats.org/officeDocument/2006/relationships/hyperlink" Target="https://login.consultant.ru/link/?req=doc&amp;base=LAW&amp;n=518091&amp;dst=100023" TargetMode = "External"/><Relationship Id="rId35" Type="http://schemas.openxmlformats.org/officeDocument/2006/relationships/hyperlink" Target="https://login.consultant.ru/link/?req=doc&amp;base=LAW&amp;n=459573&amp;dst=100010" TargetMode = "External"/><Relationship Id="rId36" Type="http://schemas.openxmlformats.org/officeDocument/2006/relationships/hyperlink" Target="https://login.consultant.ru/link/?req=doc&amp;base=LAW&amp;n=518091&amp;dst=100023" TargetMode = "External"/><Relationship Id="rId37" Type="http://schemas.openxmlformats.org/officeDocument/2006/relationships/hyperlink" Target="https://login.consultant.ru/link/?req=doc&amp;base=LAW&amp;n=459573&amp;dst=100012" TargetMode = "External"/><Relationship Id="rId38" Type="http://schemas.openxmlformats.org/officeDocument/2006/relationships/hyperlink" Target="https://login.consultant.ru/link/?req=doc&amp;base=LAW&amp;n=508984&amp;dst=100888" TargetMode = "External"/><Relationship Id="rId39" Type="http://schemas.openxmlformats.org/officeDocument/2006/relationships/hyperlink" Target="https://login.consultant.ru/link/?req=doc&amp;base=LAW&amp;n=488585&amp;dst=100010" TargetMode = "External"/><Relationship Id="rId40" Type="http://schemas.openxmlformats.org/officeDocument/2006/relationships/hyperlink" Target="https://login.consultant.ru/link/?req=doc&amp;base=LAW&amp;n=510746&amp;dst=100144" TargetMode = "External"/><Relationship Id="rId41" Type="http://schemas.openxmlformats.org/officeDocument/2006/relationships/hyperlink" Target="https://login.consultant.ru/link/?req=doc&amp;base=LAW&amp;n=488585&amp;dst=100018" TargetMode = "External"/><Relationship Id="rId42" Type="http://schemas.openxmlformats.org/officeDocument/2006/relationships/hyperlink" Target="https://login.consultant.ru/link/?req=doc&amp;base=LAW&amp;n=488585&amp;dst=100013" TargetMode = "External"/><Relationship Id="rId43" Type="http://schemas.openxmlformats.org/officeDocument/2006/relationships/hyperlink" Target="https://login.consultant.ru/link/?req=doc&amp;base=LAW&amp;n=488585&amp;dst=100014" TargetMode = "External"/><Relationship Id="rId44" Type="http://schemas.openxmlformats.org/officeDocument/2006/relationships/hyperlink" Target="https://login.consultant.ru/link/?req=doc&amp;base=LAW&amp;n=488585&amp;dst=100015" TargetMode = "External"/><Relationship Id="rId45" Type="http://schemas.openxmlformats.org/officeDocument/2006/relationships/hyperlink" Target="https://login.consultant.ru/link/?req=doc&amp;base=LAW&amp;n=488585&amp;dst=100016" TargetMode = "External"/><Relationship Id="rId46" Type="http://schemas.openxmlformats.org/officeDocument/2006/relationships/hyperlink" Target="https://login.consultant.ru/link/?req=doc&amp;base=LAW&amp;n=488585&amp;dst=1000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04.10.2021 N 1336
(ред. от 12.02.2025)
"Об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(Зарегистрировано в Минюсте России 20.12.2021 N 66439)</dc:title>
  <dcterms:created xsi:type="dcterms:W3CDTF">2026-04-10T12:52:54Z</dcterms:created>
</cp:coreProperties>
</file>