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31" w:rsidRDefault="00472D41" w:rsidP="00652631">
      <w:pPr>
        <w:spacing w:after="120"/>
        <w:jc w:val="center"/>
        <w:rPr>
          <w:b/>
          <w:sz w:val="28"/>
        </w:rPr>
      </w:pPr>
      <w:r w:rsidRPr="00652631">
        <w:rPr>
          <w:b/>
          <w:sz w:val="28"/>
        </w:rPr>
        <w:t>РЕЙТИНГ ОБРАЗОВАТЕ</w:t>
      </w:r>
      <w:r w:rsidR="00C54BFE">
        <w:rPr>
          <w:b/>
          <w:sz w:val="28"/>
        </w:rPr>
        <w:t>ЛЬН</w:t>
      </w:r>
      <w:r w:rsidRPr="00652631">
        <w:rPr>
          <w:b/>
          <w:sz w:val="28"/>
        </w:rPr>
        <w:t>ЫХ ОРГАНИЗАЦИЙ</w:t>
      </w:r>
    </w:p>
    <w:p w:rsidR="00472D41" w:rsidRPr="00652631" w:rsidRDefault="00472D41" w:rsidP="00652631">
      <w:pPr>
        <w:spacing w:after="120"/>
        <w:jc w:val="center"/>
        <w:rPr>
          <w:b/>
          <w:sz w:val="28"/>
        </w:rPr>
      </w:pPr>
      <w:r w:rsidRPr="00652631">
        <w:rPr>
          <w:b/>
          <w:sz w:val="28"/>
        </w:rPr>
        <w:t>Октябрь 2015 г.</w:t>
      </w:r>
      <w:bookmarkStart w:id="0" w:name="_GoBack"/>
      <w:bookmarkEnd w:id="0"/>
    </w:p>
    <w:p w:rsidR="00472D41" w:rsidRDefault="00472D41"/>
    <w:tbl>
      <w:tblPr>
        <w:tblStyle w:val="a3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850"/>
      </w:tblGrid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652631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652631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ОГБОУ СПО «Смоленский машиностроительный техникум»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110,2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«Техникум отраслевых технологий»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107,4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ОГБПОУ «Смоленская академия профессионального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106,2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</w:t>
            </w:r>
            <w:proofErr w:type="spellStart"/>
            <w:r w:rsidRPr="0079490A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Pr="0079490A">
              <w:rPr>
                <w:color w:val="000000"/>
                <w:sz w:val="28"/>
                <w:szCs w:val="28"/>
              </w:rPr>
              <w:t xml:space="preserve"> индустриальный техникум»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102,8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</w:t>
            </w:r>
            <w:proofErr w:type="spellStart"/>
            <w:r w:rsidRPr="0079490A">
              <w:rPr>
                <w:color w:val="000000"/>
                <w:sz w:val="28"/>
                <w:szCs w:val="28"/>
              </w:rPr>
              <w:t>Сафоновский</w:t>
            </w:r>
            <w:proofErr w:type="spellEnd"/>
            <w:r w:rsidRPr="0079490A">
              <w:rPr>
                <w:color w:val="000000"/>
                <w:sz w:val="28"/>
                <w:szCs w:val="28"/>
              </w:rPr>
              <w:t xml:space="preserve"> индустриально-технологический техникум»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100,4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ОГБПОУ «Смоленский педагогический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100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</w:t>
            </w:r>
            <w:proofErr w:type="spellStart"/>
            <w:r w:rsidRPr="0079490A">
              <w:rPr>
                <w:color w:val="000000"/>
                <w:sz w:val="28"/>
                <w:szCs w:val="28"/>
              </w:rPr>
              <w:t>Десногорский</w:t>
            </w:r>
            <w:proofErr w:type="spellEnd"/>
            <w:r w:rsidRPr="0079490A">
              <w:rPr>
                <w:color w:val="000000"/>
                <w:sz w:val="28"/>
                <w:szCs w:val="28"/>
              </w:rPr>
              <w:t xml:space="preserve"> энергетический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93,6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 xml:space="preserve">ОГБПОУ «Смоленский автотранспортный колледж имени Е.Г. </w:t>
            </w:r>
            <w:proofErr w:type="spellStart"/>
            <w:r w:rsidRPr="0079490A">
              <w:rPr>
                <w:color w:val="000000"/>
                <w:sz w:val="28"/>
                <w:szCs w:val="28"/>
              </w:rPr>
              <w:t>Трубицына</w:t>
            </w:r>
            <w:proofErr w:type="spellEnd"/>
            <w:r w:rsidRPr="0079490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75,2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«Верхнеднепровский технологический техникум»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71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«Вяземский политехнический техникум»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56,4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«Вяземский железнодорожный техникум»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47,6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</w:t>
            </w:r>
            <w:proofErr w:type="spellStart"/>
            <w:r w:rsidRPr="0079490A">
              <w:rPr>
                <w:color w:val="000000"/>
                <w:sz w:val="28"/>
                <w:szCs w:val="28"/>
              </w:rPr>
              <w:t>Рославльский</w:t>
            </w:r>
            <w:proofErr w:type="spellEnd"/>
            <w:r w:rsidRPr="0079490A">
              <w:rPr>
                <w:color w:val="000000"/>
                <w:sz w:val="28"/>
                <w:szCs w:val="28"/>
              </w:rPr>
              <w:t xml:space="preserve"> многопрофильный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26,4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ОГБПОУ «Смоленский строительный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24,8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ОГБПОУ «Смоленский политехнический техникум»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24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ОГБПОУ «Смоленский техникум железнодорожного транспорта, связи и сервиса»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1,8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«Козловский аграрно-технологический техникум»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1,4</w:t>
            </w:r>
          </w:p>
        </w:tc>
      </w:tr>
      <w:tr w:rsidR="0079490A" w:rsidRPr="0079490A" w:rsidTr="0065263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left"/>
              <w:rPr>
                <w:color w:val="000000"/>
                <w:sz w:val="28"/>
                <w:szCs w:val="28"/>
              </w:rPr>
            </w:pPr>
            <w:r w:rsidRPr="0079490A">
              <w:rPr>
                <w:color w:val="000000"/>
                <w:sz w:val="28"/>
                <w:szCs w:val="28"/>
              </w:rPr>
              <w:t>СОГБПОУ «Гагаринский многопрофильный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0A" w:rsidRPr="0079490A" w:rsidRDefault="0079490A" w:rsidP="003C20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9490A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</w:tbl>
    <w:p w:rsidR="00652631" w:rsidRDefault="00652631" w:rsidP="00993D64">
      <w:pPr>
        <w:spacing w:after="160" w:line="259" w:lineRule="auto"/>
        <w:jc w:val="left"/>
      </w:pPr>
    </w:p>
    <w:p w:rsidR="00652631" w:rsidRDefault="00652631">
      <w:pPr>
        <w:spacing w:after="160" w:line="259" w:lineRule="auto"/>
        <w:jc w:val="left"/>
      </w:pPr>
      <w:r>
        <w:br w:type="page"/>
      </w:r>
    </w:p>
    <w:p w:rsidR="00D23200" w:rsidRDefault="00652631" w:rsidP="00993D64">
      <w:pPr>
        <w:spacing w:after="160" w:line="259" w:lineRule="auto"/>
        <w:jc w:val="left"/>
      </w:pPr>
      <w:r>
        <w:rPr>
          <w:noProof/>
        </w:rPr>
        <w:lastRenderedPageBreak/>
        <w:drawing>
          <wp:inline distT="0" distB="0" distL="0" distR="0" wp14:anchorId="66B9008A" wp14:editId="3193549D">
            <wp:extent cx="6149975" cy="4922520"/>
            <wp:effectExtent l="0" t="0" r="2222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23200" w:rsidSect="007949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DB"/>
    <w:rsid w:val="00123860"/>
    <w:rsid w:val="0039792D"/>
    <w:rsid w:val="003C20DB"/>
    <w:rsid w:val="00472D41"/>
    <w:rsid w:val="00600FB9"/>
    <w:rsid w:val="00652631"/>
    <w:rsid w:val="00662DAF"/>
    <w:rsid w:val="0071375C"/>
    <w:rsid w:val="0079490A"/>
    <w:rsid w:val="00993D64"/>
    <w:rsid w:val="00C54BFE"/>
    <w:rsid w:val="00C8139B"/>
    <w:rsid w:val="00D2299D"/>
    <w:rsid w:val="00D2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D"/>
    <w:p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6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D"/>
    <w:p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6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4;&#1050;&#1054;\Documents\&#1086;&#1090;&#1076;&#1077;&#1083;%20&#1069;&#1052;&#1057;&#1054;\&#1084;&#1086;&#1085;&#1080;&#1090;&#1086;&#1088;&#1080;&#1085;&#1075;%20&#1085;&#1086;&#1082;&#1086;\&#1088;&#1077;&#1081;&#1090;&#1080;&#1085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9983749990183296"/>
          <c:y val="2.3006537842131674E-2"/>
          <c:w val="0.42644260528668698"/>
          <c:h val="0.9539869243157366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50000"/>
              </a:schemeClr>
            </a:solidFill>
          </c:spPr>
          <c:invertIfNegative val="0"/>
          <c:cat>
            <c:strRef>
              <c:f>итого!$A$2:$A$18</c:f>
              <c:strCache>
                <c:ptCount val="17"/>
                <c:pt idx="0">
                  <c:v>ОГБОУ СПО «Смоленский машиностроительный техникум»</c:v>
                </c:pt>
                <c:pt idx="1">
                  <c:v>СОГБПОУ «Техникум отраслевых технологий»</c:v>
                </c:pt>
                <c:pt idx="2">
                  <c:v>ОГБПОУ «Смоленская академия профессионального образования»</c:v>
                </c:pt>
                <c:pt idx="3">
                  <c:v>СОГБПОУ «Ярцевский индустриальный техникум»</c:v>
                </c:pt>
                <c:pt idx="4">
                  <c:v>СОГБПОУ «Сафоновский индустриально-технологический техникум»</c:v>
                </c:pt>
                <c:pt idx="5">
                  <c:v>ОГБПОУ «Смоленский педагогический колледж»</c:v>
                </c:pt>
                <c:pt idx="6">
                  <c:v>СОГБПОУ «Десногорский энергетический колледж»</c:v>
                </c:pt>
                <c:pt idx="7">
                  <c:v>ОГБПОУ «Смоленский автотранспортный колледж имени Е.Г. Трубицына»</c:v>
                </c:pt>
                <c:pt idx="8">
                  <c:v>СОГБПОУ «Верхнеднепровский технологический техникум»</c:v>
                </c:pt>
                <c:pt idx="9">
                  <c:v>СОГБПОУ «Вяземский политехнический техникум»</c:v>
                </c:pt>
                <c:pt idx="10">
                  <c:v>СОГБПОУ «Вяземский железнодорожный техникум»</c:v>
                </c:pt>
                <c:pt idx="11">
                  <c:v>СОГБПОУ «Рославльский многопрофильный колледж»</c:v>
                </c:pt>
                <c:pt idx="12">
                  <c:v>ОГБПОУ «Смоленский строительный колледж»</c:v>
                </c:pt>
                <c:pt idx="13">
                  <c:v>ОГБПОУ «Смоленский политехнический техникум»</c:v>
                </c:pt>
                <c:pt idx="14">
                  <c:v>ОГБПОУ «Смоленский техникум железнодорожного транспорта, связи и сервиса»</c:v>
                </c:pt>
                <c:pt idx="15">
                  <c:v>СОГБПОУ «Козловский аграрно-технологический техникум»</c:v>
                </c:pt>
                <c:pt idx="16">
                  <c:v>СОГБПОУ «Гагаринский многопрофильный колледж»</c:v>
                </c:pt>
              </c:strCache>
            </c:strRef>
          </c:cat>
          <c:val>
            <c:numRef>
              <c:f>итого!$K$2:$K$18</c:f>
              <c:numCache>
                <c:formatCode>General</c:formatCode>
                <c:ptCount val="17"/>
                <c:pt idx="0">
                  <c:v>110.2</c:v>
                </c:pt>
                <c:pt idx="1">
                  <c:v>107.4</c:v>
                </c:pt>
                <c:pt idx="2">
                  <c:v>106.2</c:v>
                </c:pt>
                <c:pt idx="3">
                  <c:v>102.8</c:v>
                </c:pt>
                <c:pt idx="4">
                  <c:v>100.4</c:v>
                </c:pt>
                <c:pt idx="5">
                  <c:v>100</c:v>
                </c:pt>
                <c:pt idx="6">
                  <c:v>93.6</c:v>
                </c:pt>
                <c:pt idx="7">
                  <c:v>75.2</c:v>
                </c:pt>
                <c:pt idx="8">
                  <c:v>71</c:v>
                </c:pt>
                <c:pt idx="9">
                  <c:v>56.4</c:v>
                </c:pt>
                <c:pt idx="10">
                  <c:v>47.6</c:v>
                </c:pt>
                <c:pt idx="11">
                  <c:v>26.4</c:v>
                </c:pt>
                <c:pt idx="12">
                  <c:v>24.8</c:v>
                </c:pt>
                <c:pt idx="13">
                  <c:v>24</c:v>
                </c:pt>
                <c:pt idx="14">
                  <c:v>1.8</c:v>
                </c:pt>
                <c:pt idx="15">
                  <c:v>1.4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44427264"/>
        <c:axId val="86081536"/>
      </c:barChart>
      <c:catAx>
        <c:axId val="144427264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 algn="r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081536"/>
        <c:crosses val="autoZero"/>
        <c:auto val="1"/>
        <c:lblAlgn val="ctr"/>
        <c:lblOffset val="100"/>
        <c:noMultiLvlLbl val="0"/>
      </c:catAx>
      <c:valAx>
        <c:axId val="8608153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44427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0.01635</cdr:x>
      <cdr:y>0.58376</cdr:y>
    </cdr:from>
    <cdr:to>
      <cdr:x>0.98457</cdr:x>
      <cdr:y>0.58376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151946" y="3544682"/>
          <a:ext cx="9000000" cy="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0.01632</cdr:x>
      <cdr:y>0.41425</cdr:y>
    </cdr:from>
    <cdr:to>
      <cdr:x>0.98455</cdr:x>
      <cdr:y>0.41425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151720" y="2515415"/>
          <a:ext cx="9000000" cy="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0.81631</cdr:x>
      <cdr:y>0.70884</cdr:y>
    </cdr:from>
    <cdr:to>
      <cdr:x>0.98864</cdr:x>
      <cdr:y>0.78289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020282" y="3489256"/>
          <a:ext cx="1059826" cy="3645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/>
            <a:t>Критический</a:t>
          </a:r>
        </a:p>
      </cdr:txBody>
    </cdr:sp>
  </cdr:relSizeAnchor>
  <cdr:relSizeAnchor xmlns:cdr="http://schemas.openxmlformats.org/drawingml/2006/chartDrawing">
    <cdr:from>
      <cdr:x>0.81902</cdr:x>
      <cdr:y>0.47778</cdr:y>
    </cdr:from>
    <cdr:to>
      <cdr:x>0.98224</cdr:x>
      <cdr:y>0.55183</cdr:y>
    </cdr:to>
    <cdr:sp macro="" textlink="">
      <cdr:nvSpPr>
        <cdr:cNvPr id="5" name="TextBox 2"/>
        <cdr:cNvSpPr txBox="1"/>
      </cdr:nvSpPr>
      <cdr:spPr>
        <a:xfrm xmlns:a="http://schemas.openxmlformats.org/drawingml/2006/main">
          <a:off x="5036949" y="2351859"/>
          <a:ext cx="1003799" cy="3645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/>
            <a:t>Допустимый</a:t>
          </a:r>
        </a:p>
      </cdr:txBody>
    </cdr:sp>
  </cdr:relSizeAnchor>
  <cdr:relSizeAnchor xmlns:cdr="http://schemas.openxmlformats.org/drawingml/2006/chartDrawing">
    <cdr:from>
      <cdr:x>0.81793</cdr:x>
      <cdr:y>0.32235</cdr:y>
    </cdr:from>
    <cdr:to>
      <cdr:x>1</cdr:x>
      <cdr:y>0.3964</cdr:y>
    </cdr:to>
    <cdr:sp macro="" textlink="">
      <cdr:nvSpPr>
        <cdr:cNvPr id="6" name="TextBox 3"/>
        <cdr:cNvSpPr txBox="1"/>
      </cdr:nvSpPr>
      <cdr:spPr>
        <a:xfrm xmlns:a="http://schemas.openxmlformats.org/drawingml/2006/main">
          <a:off x="5030553" y="1586752"/>
          <a:ext cx="1119726" cy="3645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/>
            <a:t>Оптимальный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ОКО</cp:lastModifiedBy>
  <cp:revision>4</cp:revision>
  <dcterms:created xsi:type="dcterms:W3CDTF">2015-10-22T12:42:00Z</dcterms:created>
  <dcterms:modified xsi:type="dcterms:W3CDTF">2015-10-22T12:48:00Z</dcterms:modified>
</cp:coreProperties>
</file>