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4 декабря 2025 г. N 84459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799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 И ПРОДОЛЖИТЕЛЬНОСТИ</w:t>
      </w:r>
    </w:p>
    <w:p>
      <w:pPr>
        <w:pStyle w:val="2"/>
        <w:jc w:val="center"/>
      </w:pPr>
      <w:r>
        <w:rPr>
          <w:sz w:val="20"/>
        </w:rPr>
        <w:t xml:space="preserve">ПРОВЕДЕНИЯ ОСНОВНОГО ГОСУДАРСТВЕННОГО ЭКЗАМЕНА ПО КАЖДОМУ</w:t>
      </w:r>
    </w:p>
    <w:p>
      <w:pPr>
        <w:pStyle w:val="2"/>
        <w:jc w:val="center"/>
      </w:pPr>
      <w:r>
        <w:rPr>
          <w:sz w:val="20"/>
        </w:rPr>
        <w:t xml:space="preserve">УЧЕБНОМУ ПРЕДМЕТУ, ТРЕБОВАНИЙ К ИСПОЛЬЗОВАНИЮ СРЕДСТВ</w:t>
      </w:r>
    </w:p>
    <w:p>
      <w:pPr>
        <w:pStyle w:val="2"/>
        <w:jc w:val="center"/>
      </w:pPr>
      <w:r>
        <w:rPr>
          <w:sz w:val="20"/>
        </w:rPr>
        <w:t xml:space="preserve">ОБУЧЕНИЯ И ВОСПИТАНИЯ ПРИ ЕГО ПРОВЕДЕНИИ В 2026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основного государственного экзамена (далее - ОГЭ)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и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июня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июня (суббота) - иностранные языки (английский, испанский, немецкий, французский), информатика;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июня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июня (вторник)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 июня (пятница) - по всем учебным предметам (кроме русского языка и математики).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и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80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мая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мая (среда)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мая (четверг)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мая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мая (понедельник)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 июня (понедельник)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июля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июля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июля (понедельник)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сентября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сентября (среда)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сентября (четверг)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апреля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апреля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 апреля (вторник)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мая (среда)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сентября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сентября (четверг) - биология, география,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ОГЭ по всем учебным предметам начинается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использование участниками ОГЭ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словарь, позволяющий устанавливать нормативное написание слов;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7" w:tooltip="Приказ Минпросвещения России N 788, Рособрнадзора N 2090 от 11.11.2024 &quot;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799, Рособрнадзора N 1905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799, Рособрнадзора N 1905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6721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47000&amp;dst=100023" TargetMode = "External"/><Relationship Id="rId11" Type="http://schemas.openxmlformats.org/officeDocument/2006/relationships/hyperlink" Target="https://login.consultant.ru/link/?req=doc&amp;base=RZR&amp;n=447000&amp;dst=100035" TargetMode = "External"/><Relationship Id="rId12" Type="http://schemas.openxmlformats.org/officeDocument/2006/relationships/hyperlink" Target="https://login.consultant.ru/link/?req=doc&amp;base=RZR&amp;n=447000&amp;dst=100275" TargetMode = "External"/><Relationship Id="rId13" Type="http://schemas.openxmlformats.org/officeDocument/2006/relationships/hyperlink" Target="https://login.consultant.ru/link/?req=doc&amp;base=RZR&amp;n=447000&amp;dst=100283" TargetMode = "External"/><Relationship Id="rId14" Type="http://schemas.openxmlformats.org/officeDocument/2006/relationships/hyperlink" Target="https://login.consultant.ru/link/?req=doc&amp;base=RZR&amp;n=447000&amp;dst=100492" TargetMode = "External"/><Relationship Id="rId15" Type="http://schemas.openxmlformats.org/officeDocument/2006/relationships/hyperlink" Target="https://login.consultant.ru/link/?req=doc&amp;base=RZR&amp;n=447000&amp;dst=100276" TargetMode = "External"/><Relationship Id="rId16" Type="http://schemas.openxmlformats.org/officeDocument/2006/relationships/hyperlink" Target="https://login.consultant.ru/link/?req=doc&amp;base=RZR&amp;n=447000&amp;dst=100496" TargetMode = "External"/><Relationship Id="rId17" Type="http://schemas.openxmlformats.org/officeDocument/2006/relationships/hyperlink" Target="https://login.consultant.ru/link/?req=doc&amp;base=RZR&amp;n=49288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799, Рособрнадзора N 1905 от 07.11.2025
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84459)</dc:title>
  <dcterms:created xsi:type="dcterms:W3CDTF">2025-12-12T08:12:33Z</dcterms:created>
</cp:coreProperties>
</file>