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F5E" w:rsidRPr="00AC37FC" w:rsidRDefault="00B97F5E" w:rsidP="00AC37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FC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B97F5E" w:rsidRPr="00AC37FC" w:rsidRDefault="00B97F5E" w:rsidP="00AC37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FC">
        <w:rPr>
          <w:rFonts w:ascii="Times New Roman" w:hAnsi="Times New Roman" w:cs="Times New Roman"/>
          <w:b/>
          <w:sz w:val="28"/>
          <w:szCs w:val="28"/>
        </w:rPr>
        <w:t>по организации и проведению муниципального этапа</w:t>
      </w:r>
    </w:p>
    <w:p w:rsidR="00B97F5E" w:rsidRPr="00AC37FC" w:rsidRDefault="00AC37FC" w:rsidP="00AC37F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FC">
        <w:rPr>
          <w:rFonts w:ascii="Times New Roman" w:hAnsi="Times New Roman" w:cs="Times New Roman"/>
          <w:b/>
          <w:sz w:val="28"/>
          <w:szCs w:val="28"/>
        </w:rPr>
        <w:t>в</w:t>
      </w:r>
      <w:r w:rsidR="00B97F5E" w:rsidRPr="00AC37FC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физике</w:t>
      </w:r>
    </w:p>
    <w:p w:rsidR="00B97F5E" w:rsidRDefault="00B97F5E" w:rsidP="00AC37F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7F5E" w:rsidRPr="00AC37FC" w:rsidRDefault="00AC37FC" w:rsidP="00AC37FC">
      <w:pPr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2023/24 учебный год</w:t>
      </w:r>
    </w:p>
    <w:p w:rsidR="00B97F5E" w:rsidRDefault="00B97F5E" w:rsidP="00AC37FC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97F5E" w:rsidRDefault="00B97F5E" w:rsidP="00AC37FC">
      <w:pPr>
        <w:pStyle w:val="a3"/>
        <w:numPr>
          <w:ilvl w:val="0"/>
          <w:numId w:val="2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73B40" w:rsidRDefault="00E73B40" w:rsidP="00AC37FC">
      <w:pPr>
        <w:pStyle w:val="a3"/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Требования к проведению муниципального этапа всероссийской олимпиады школьников по физике на территории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E73B40">
        <w:rPr>
          <w:rFonts w:ascii="Times New Roman" w:hAnsi="Times New Roman" w:cs="Times New Roman"/>
          <w:sz w:val="28"/>
          <w:szCs w:val="28"/>
        </w:rPr>
        <w:t xml:space="preserve"> в 202</w:t>
      </w:r>
      <w:r w:rsidR="002D0A94">
        <w:rPr>
          <w:rFonts w:ascii="Times New Roman" w:hAnsi="Times New Roman" w:cs="Times New Roman"/>
          <w:sz w:val="28"/>
          <w:szCs w:val="28"/>
        </w:rPr>
        <w:t>3</w:t>
      </w:r>
      <w:r w:rsidRPr="00E73B40">
        <w:rPr>
          <w:rFonts w:ascii="Times New Roman" w:hAnsi="Times New Roman" w:cs="Times New Roman"/>
          <w:sz w:val="28"/>
          <w:szCs w:val="28"/>
        </w:rPr>
        <w:t>-202</w:t>
      </w:r>
      <w:r w:rsidR="002D0A94">
        <w:rPr>
          <w:rFonts w:ascii="Times New Roman" w:hAnsi="Times New Roman" w:cs="Times New Roman"/>
          <w:sz w:val="28"/>
          <w:szCs w:val="28"/>
        </w:rPr>
        <w:t>4</w:t>
      </w:r>
      <w:r w:rsidRPr="00E73B40">
        <w:rPr>
          <w:rFonts w:ascii="Times New Roman" w:hAnsi="Times New Roman" w:cs="Times New Roman"/>
          <w:sz w:val="28"/>
          <w:szCs w:val="28"/>
        </w:rPr>
        <w:t xml:space="preserve"> учебном году (далее Требования) подготовлены в соответствии с: </w:t>
      </w:r>
    </w:p>
    <w:p w:rsidR="00E73B40" w:rsidRPr="00E73B40" w:rsidRDefault="00E73B40" w:rsidP="00AC37FC">
      <w:pPr>
        <w:pStyle w:val="a3"/>
        <w:numPr>
          <w:ilvl w:val="0"/>
          <w:numId w:val="4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27.11.2020 № 678 «Об утверждении Порядка проведения всероссийской олимпиады школьников» (далее – Порядок); </w:t>
      </w:r>
    </w:p>
    <w:p w:rsidR="00E73B40" w:rsidRPr="00E73B40" w:rsidRDefault="00E73B40" w:rsidP="00AC37FC">
      <w:pPr>
        <w:pStyle w:val="a3"/>
        <w:numPr>
          <w:ilvl w:val="0"/>
          <w:numId w:val="4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приказом Департамента Смоленской области по образованию и науке от </w:t>
      </w:r>
      <w:r w:rsidR="002D0A94">
        <w:rPr>
          <w:rFonts w:ascii="Times New Roman" w:hAnsi="Times New Roman" w:cs="Times New Roman"/>
          <w:sz w:val="28"/>
          <w:szCs w:val="28"/>
        </w:rPr>
        <w:t>01</w:t>
      </w:r>
      <w:r w:rsidRPr="00E73B40">
        <w:rPr>
          <w:rFonts w:ascii="Times New Roman" w:hAnsi="Times New Roman" w:cs="Times New Roman"/>
          <w:sz w:val="28"/>
          <w:szCs w:val="28"/>
        </w:rPr>
        <w:t>.0</w:t>
      </w:r>
      <w:r w:rsidR="002D0A94">
        <w:rPr>
          <w:rFonts w:ascii="Times New Roman" w:hAnsi="Times New Roman" w:cs="Times New Roman"/>
          <w:sz w:val="28"/>
          <w:szCs w:val="28"/>
        </w:rPr>
        <w:t>9</w:t>
      </w:r>
      <w:r w:rsidRPr="00E73B40">
        <w:rPr>
          <w:rFonts w:ascii="Times New Roman" w:hAnsi="Times New Roman" w:cs="Times New Roman"/>
          <w:sz w:val="28"/>
          <w:szCs w:val="28"/>
        </w:rPr>
        <w:t>.202</w:t>
      </w:r>
      <w:r w:rsidR="002D0A94">
        <w:rPr>
          <w:rFonts w:ascii="Times New Roman" w:hAnsi="Times New Roman" w:cs="Times New Roman"/>
          <w:sz w:val="28"/>
          <w:szCs w:val="28"/>
        </w:rPr>
        <w:t>3</w:t>
      </w:r>
      <w:r w:rsidRPr="00E73B40">
        <w:rPr>
          <w:rFonts w:ascii="Times New Roman" w:hAnsi="Times New Roman" w:cs="Times New Roman"/>
          <w:sz w:val="28"/>
          <w:szCs w:val="28"/>
        </w:rPr>
        <w:t xml:space="preserve"> № 7</w:t>
      </w:r>
      <w:r w:rsidR="002D0A94">
        <w:rPr>
          <w:rFonts w:ascii="Times New Roman" w:hAnsi="Times New Roman" w:cs="Times New Roman"/>
          <w:sz w:val="28"/>
          <w:szCs w:val="28"/>
        </w:rPr>
        <w:t>43</w:t>
      </w:r>
      <w:r w:rsidRPr="00E73B40">
        <w:rPr>
          <w:rFonts w:ascii="Times New Roman" w:hAnsi="Times New Roman" w:cs="Times New Roman"/>
          <w:sz w:val="28"/>
          <w:szCs w:val="28"/>
        </w:rPr>
        <w:t>-ОД «О проведении муниципального этап</w:t>
      </w:r>
      <w:r w:rsidR="002D0A94">
        <w:rPr>
          <w:rFonts w:ascii="Times New Roman" w:hAnsi="Times New Roman" w:cs="Times New Roman"/>
          <w:sz w:val="28"/>
          <w:szCs w:val="28"/>
        </w:rPr>
        <w:t>а</w:t>
      </w:r>
      <w:r w:rsidRPr="00E73B40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в 202</w:t>
      </w:r>
      <w:r w:rsidR="002D0A94">
        <w:rPr>
          <w:rFonts w:ascii="Times New Roman" w:hAnsi="Times New Roman" w:cs="Times New Roman"/>
          <w:sz w:val="28"/>
          <w:szCs w:val="28"/>
        </w:rPr>
        <w:t>3</w:t>
      </w:r>
      <w:r w:rsidRPr="00E73B40">
        <w:rPr>
          <w:rFonts w:ascii="Times New Roman" w:hAnsi="Times New Roman" w:cs="Times New Roman"/>
          <w:sz w:val="28"/>
          <w:szCs w:val="28"/>
        </w:rPr>
        <w:t>/2</w:t>
      </w:r>
      <w:r w:rsidR="002D0A94">
        <w:rPr>
          <w:rFonts w:ascii="Times New Roman" w:hAnsi="Times New Roman" w:cs="Times New Roman"/>
          <w:sz w:val="28"/>
          <w:szCs w:val="28"/>
        </w:rPr>
        <w:t>4</w:t>
      </w:r>
      <w:r w:rsidRPr="00E73B40">
        <w:rPr>
          <w:rFonts w:ascii="Times New Roman" w:hAnsi="Times New Roman" w:cs="Times New Roman"/>
          <w:sz w:val="28"/>
          <w:szCs w:val="28"/>
        </w:rPr>
        <w:t xml:space="preserve"> учебном году на территории Смоленской области»</w:t>
      </w:r>
      <w:r w:rsidR="000D4B96">
        <w:rPr>
          <w:rFonts w:ascii="Times New Roman" w:hAnsi="Times New Roman" w:cs="Times New Roman"/>
          <w:sz w:val="28"/>
          <w:szCs w:val="28"/>
        </w:rPr>
        <w:t>;</w:t>
      </w:r>
    </w:p>
    <w:p w:rsidR="00B97F5E" w:rsidRDefault="00E73B40" w:rsidP="00AC37FC">
      <w:pPr>
        <w:pStyle w:val="a3"/>
        <w:numPr>
          <w:ilvl w:val="0"/>
          <w:numId w:val="4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>методическими рекомендациями по проведению школьного и муниципального этапов всероссийской олимпиады школьников в 202</w:t>
      </w:r>
      <w:r w:rsidR="002D0A94">
        <w:rPr>
          <w:rFonts w:ascii="Times New Roman" w:hAnsi="Times New Roman" w:cs="Times New Roman"/>
          <w:sz w:val="28"/>
          <w:szCs w:val="28"/>
        </w:rPr>
        <w:t>3</w:t>
      </w:r>
      <w:r w:rsidRPr="00E73B40">
        <w:rPr>
          <w:rFonts w:ascii="Times New Roman" w:hAnsi="Times New Roman" w:cs="Times New Roman"/>
          <w:sz w:val="28"/>
          <w:szCs w:val="28"/>
        </w:rPr>
        <w:t>-202</w:t>
      </w:r>
      <w:r w:rsidR="002D0A94">
        <w:rPr>
          <w:rFonts w:ascii="Times New Roman" w:hAnsi="Times New Roman" w:cs="Times New Roman"/>
          <w:sz w:val="28"/>
          <w:szCs w:val="28"/>
        </w:rPr>
        <w:t>4</w:t>
      </w:r>
      <w:r w:rsidRPr="00E73B40">
        <w:rPr>
          <w:rFonts w:ascii="Times New Roman" w:hAnsi="Times New Roman" w:cs="Times New Roman"/>
          <w:sz w:val="28"/>
          <w:szCs w:val="28"/>
        </w:rPr>
        <w:t xml:space="preserve"> учебном году по физи</w:t>
      </w:r>
      <w:r>
        <w:rPr>
          <w:rFonts w:ascii="Times New Roman" w:hAnsi="Times New Roman" w:cs="Times New Roman"/>
          <w:sz w:val="28"/>
          <w:szCs w:val="28"/>
        </w:rPr>
        <w:t>ке.</w:t>
      </w:r>
    </w:p>
    <w:p w:rsidR="00E73B40" w:rsidRDefault="00E73B40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Требования предназначены для организаторов и жюри муниципального этапа всероссийской олимпиады школьников (далее – Олимпиада), который следует за школьным этапом и предшествует региональному. </w:t>
      </w:r>
    </w:p>
    <w:p w:rsidR="00E73B40" w:rsidRDefault="00E73B40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Рабочим языком проведения олимпиады является русский язык. </w:t>
      </w:r>
    </w:p>
    <w:p w:rsidR="00E73B40" w:rsidRDefault="00E73B40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 xml:space="preserve">Взимание платы за участие в Олимпиаде не допускается. </w:t>
      </w:r>
    </w:p>
    <w:p w:rsidR="00AD5922" w:rsidRDefault="00E73B40" w:rsidP="00AD5922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40">
        <w:rPr>
          <w:rFonts w:ascii="Times New Roman" w:hAnsi="Times New Roman" w:cs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физике с учетом методических рекомендаций Центральной предметно-м</w:t>
      </w:r>
      <w:r w:rsidR="00AD5922">
        <w:rPr>
          <w:rFonts w:ascii="Times New Roman" w:hAnsi="Times New Roman" w:cs="Times New Roman"/>
          <w:sz w:val="28"/>
          <w:szCs w:val="28"/>
        </w:rPr>
        <w:t>етодической комиссии по физике.</w:t>
      </w:r>
    </w:p>
    <w:p w:rsidR="00691C80" w:rsidRDefault="00691C80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олимпиаде принимают участие ученики 7-11 классов, получившие на школьном этапе Олимпиады балл, превышающий проходной для участия в ее муниципальном этапе.</w:t>
      </w:r>
    </w:p>
    <w:p w:rsidR="00691C80" w:rsidRDefault="00691C80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необходимости организации специальных условий для отдельных категорий учащихся учебное заведение сообщает заблаговременно.</w:t>
      </w:r>
    </w:p>
    <w:p w:rsidR="00691C80" w:rsidRPr="00691C80" w:rsidRDefault="00691C80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>Материально-техническое обеспечение.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Для проведения туров Олимпиады следует подготовить аудитории с посадочными местами из расчета 1 стол на одного участника.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Во время выполнения заданий Олимпиады участникам запрещается пользоваться справочной литературой, собственной бумагой или средствами связи. Для проведения муниципального тура Олимпиады по физике не требуется специальных технических средств.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Тиражирование заданий осуществляется с учетом следующих параметров: листы бумаги формата А5 или А4, черно-белая печать 12 или 14 кеглем (каждый участник получает листы с условиями задач). Задания должны тиражироваться без уменьшения.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Участник Олимпиады использует на туре свои письменные принадлежности, циркуль, транспортир, линейку, непрограммируемый калькулятор. </w:t>
      </w:r>
      <w:r w:rsidR="002D0A94">
        <w:rPr>
          <w:rFonts w:ascii="Times New Roman" w:hAnsi="Times New Roman" w:cs="Times New Roman"/>
          <w:sz w:val="28"/>
          <w:szCs w:val="28"/>
        </w:rPr>
        <w:t>О</w:t>
      </w:r>
      <w:r w:rsidRPr="00691C80">
        <w:rPr>
          <w:rFonts w:ascii="Times New Roman" w:hAnsi="Times New Roman" w:cs="Times New Roman"/>
          <w:sz w:val="28"/>
          <w:szCs w:val="28"/>
        </w:rPr>
        <w:t xml:space="preserve">рганизаторы должны иметь некоторое количество запасных ручек и линеек на каждую аудиторию.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 или листы формата А4 со штампом или колонтитулом организатора Олимпиады. </w:t>
      </w:r>
    </w:p>
    <w:p w:rsidR="00112902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lastRenderedPageBreak/>
        <w:t xml:space="preserve">После начала тура участники Олимпиады могут задавать вопросы по условиям задач. Все вопросы задаются в письменной форме, устные вопросы не допускаются!!! В этой связи у дежурных по аудитории должны быть в наличии листы бумаги для вопросов. </w:t>
      </w:r>
    </w:p>
    <w:p w:rsidR="00691C80" w:rsidRDefault="00691C80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C80">
        <w:rPr>
          <w:rFonts w:ascii="Times New Roman" w:hAnsi="Times New Roman" w:cs="Times New Roman"/>
          <w:sz w:val="28"/>
          <w:szCs w:val="28"/>
        </w:rPr>
        <w:t xml:space="preserve">Для полноценной работы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Pr="00691C80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Pr="00691C80">
        <w:rPr>
          <w:rFonts w:ascii="Times New Roman" w:hAnsi="Times New Roman" w:cs="Times New Roman"/>
          <w:sz w:val="28"/>
          <w:szCs w:val="28"/>
        </w:rPr>
        <w:t xml:space="preserve"> и несколько упаковок скрепок к нему, </w:t>
      </w:r>
      <w:proofErr w:type="spellStart"/>
      <w:r w:rsidRPr="00691C80">
        <w:rPr>
          <w:rFonts w:ascii="Times New Roman" w:hAnsi="Times New Roman" w:cs="Times New Roman"/>
          <w:sz w:val="28"/>
          <w:szCs w:val="28"/>
        </w:rPr>
        <w:t>антистеплер</w:t>
      </w:r>
      <w:proofErr w:type="spellEnd"/>
      <w:r w:rsidRPr="00691C80">
        <w:rPr>
          <w:rFonts w:ascii="Times New Roman" w:hAnsi="Times New Roman" w:cs="Times New Roman"/>
          <w:sz w:val="28"/>
          <w:szCs w:val="28"/>
        </w:rPr>
        <w:t>, клеящий карандаш, скотч).</w:t>
      </w:r>
    </w:p>
    <w:p w:rsidR="00112902" w:rsidRPr="00112902" w:rsidRDefault="00112902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Перечень справочных материалов и оборудования.</w:t>
      </w:r>
    </w:p>
    <w:p w:rsidR="00112902" w:rsidRDefault="00112902" w:rsidP="00AC37FC">
      <w:pPr>
        <w:pStyle w:val="a3"/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олимпиады имеет право использовать:</w:t>
      </w:r>
    </w:p>
    <w:p w:rsidR="00112902" w:rsidRDefault="00112902" w:rsidP="00AC37FC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принадлежности;</w:t>
      </w:r>
    </w:p>
    <w:p w:rsidR="00112902" w:rsidRDefault="00112902" w:rsidP="00AC37FC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линейку;</w:t>
      </w:r>
    </w:p>
    <w:p w:rsidR="00112902" w:rsidRDefault="00112902" w:rsidP="00AC37FC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циркуль;</w:t>
      </w:r>
    </w:p>
    <w:p w:rsidR="00112902" w:rsidRDefault="00112902" w:rsidP="00AC37FC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непрограммируемый калькулятор.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Табличные значения величин, не указанные в тексте задач, учащиеся получают от членов комиссии по письменному запросу.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значения констант содержатся в следующей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3118"/>
      </w:tblGrid>
      <w:tr w:rsidR="00112902" w:rsidRPr="00112902" w:rsidTr="00701261">
        <w:trPr>
          <w:jc w:val="center"/>
        </w:trPr>
        <w:tc>
          <w:tcPr>
            <w:tcW w:w="6096" w:type="dxa"/>
            <w:tcBorders>
              <w:top w:val="single" w:sz="4" w:space="0" w:color="auto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8"/>
                <w:lang w:eastAsia="ru-RU"/>
              </w:rPr>
              <w:t>Константы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число 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70"/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F070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3,14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ускорение свободного падения на Земле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8"/>
                <w:lang w:eastAsia="ru-RU"/>
              </w:rPr>
              <w:t>g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10 м/с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</w:t>
            </w:r>
          </w:p>
        </w:tc>
      </w:tr>
      <w:tr w:rsidR="00112902" w:rsidRPr="00112902" w:rsidTr="00701261">
        <w:trPr>
          <w:trHeight w:val="296"/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гравитационная постоянная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8"/>
                <w:lang w:eastAsia="ru-RU"/>
              </w:rPr>
              <w:t>G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6,7·10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–11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Н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/кг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универсальная газовая постоянная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52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8,31 Дж/(моль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К)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постоянная Больцмана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6B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1,38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–23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Дж/К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постоянная Авогадро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4E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bscript"/>
                <w:lang w:eastAsia="ru-RU"/>
              </w:rPr>
              <w:t>А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6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23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моль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–1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скорость света в вакууме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8"/>
                <w:lang w:eastAsia="ru-RU"/>
              </w:rPr>
              <w:t>с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3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8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м/с</w:t>
            </w:r>
          </w:p>
        </w:tc>
      </w:tr>
      <w:tr w:rsidR="00112902" w:rsidRPr="00112902" w:rsidTr="00701261">
        <w:trPr>
          <w:cantSplit/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  <w:vAlign w:val="center"/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коэффициент пропорциональности в законе Кулона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6B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</w:t>
            </w:r>
            <w:r w:rsidRPr="00112902">
              <w:rPr>
                <w:rFonts w:ascii="Times New Roman" w:eastAsia="Times New Roman" w:hAnsi="Times New Roman" w:cs="Times New Roman"/>
                <w:noProof/>
                <w:position w:val="-34"/>
                <w:sz w:val="26"/>
                <w:szCs w:val="28"/>
                <w:lang w:eastAsia="ru-RU"/>
              </w:rPr>
              <w:drawing>
                <wp:inline distT="0" distB="0" distL="0" distR="0" wp14:anchorId="2CFAC5F9" wp14:editId="2B89BB99">
                  <wp:extent cx="387985" cy="471170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= 9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9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Н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м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/Кл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2</w:t>
            </w:r>
          </w:p>
        </w:tc>
      </w:tr>
      <w:tr w:rsidR="00112902" w:rsidRPr="00112902" w:rsidTr="00701261">
        <w:trPr>
          <w:cantSplit/>
          <w:jc w:val="center"/>
        </w:trPr>
        <w:tc>
          <w:tcPr>
            <w:tcW w:w="6096" w:type="dxa"/>
            <w:tcBorders>
              <w:top w:val="nil"/>
              <w:bottom w:val="nil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модуль заряда электрона </w:t>
            </w:r>
          </w:p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(элементарный электрический заряд)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112902" w:rsidRPr="00112902" w:rsidRDefault="00112902" w:rsidP="00112902">
            <w:pPr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65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1,6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–19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Кл</w:t>
            </w:r>
          </w:p>
        </w:tc>
      </w:tr>
      <w:tr w:rsidR="00112902" w:rsidRPr="00112902" w:rsidTr="00701261">
        <w:trPr>
          <w:jc w:val="center"/>
        </w:trPr>
        <w:tc>
          <w:tcPr>
            <w:tcW w:w="6096" w:type="dxa"/>
            <w:tcBorders>
              <w:top w:val="nil"/>
              <w:bottom w:val="single" w:sz="4" w:space="0" w:color="auto"/>
              <w:right w:val="nil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постоянная Планка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</w:tcBorders>
          </w:tcPr>
          <w:p w:rsidR="00112902" w:rsidRPr="00112902" w:rsidRDefault="00112902" w:rsidP="00112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  <w:r w:rsidRPr="0011290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sym w:font="Times New Roman" w:char="0068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= 6,6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10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vertAlign w:val="superscript"/>
                <w:lang w:eastAsia="ru-RU"/>
              </w:rPr>
              <w:t>–34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 xml:space="preserve"> Дж</w:t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Times New Roman" w:char="00B7"/>
            </w:r>
            <w:r w:rsidRPr="00112902"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  <w:t>с</w:t>
            </w:r>
          </w:p>
        </w:tc>
      </w:tr>
    </w:tbl>
    <w:p w:rsidR="00112902" w:rsidRDefault="00112902" w:rsidP="0011290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902" w:rsidRPr="00112902" w:rsidRDefault="00112902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Порядок проведения олимпиады.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lastRenderedPageBreak/>
        <w:t xml:space="preserve">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отчетов о проделанной работе, и т.д.).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Во время муниципального этапа обучающимся в 7-х, 8-х предлагается решить 4 задачи за </w:t>
      </w:r>
      <w:r w:rsidR="002D0A94">
        <w:rPr>
          <w:rFonts w:ascii="Times New Roman" w:hAnsi="Times New Roman" w:cs="Times New Roman"/>
          <w:sz w:val="28"/>
          <w:szCs w:val="28"/>
        </w:rPr>
        <w:t>180</w:t>
      </w:r>
      <w:r w:rsidRPr="00112902">
        <w:rPr>
          <w:rFonts w:ascii="Times New Roman" w:hAnsi="Times New Roman" w:cs="Times New Roman"/>
          <w:sz w:val="28"/>
          <w:szCs w:val="28"/>
        </w:rPr>
        <w:t xml:space="preserve"> минут, в 9-х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94">
        <w:rPr>
          <w:rFonts w:ascii="Times New Roman" w:hAnsi="Times New Roman" w:cs="Times New Roman"/>
          <w:sz w:val="28"/>
          <w:szCs w:val="28"/>
        </w:rPr>
        <w:t>,</w:t>
      </w:r>
      <w:r w:rsidRPr="00112902">
        <w:rPr>
          <w:rFonts w:ascii="Times New Roman" w:hAnsi="Times New Roman" w:cs="Times New Roman"/>
          <w:sz w:val="28"/>
          <w:szCs w:val="28"/>
        </w:rPr>
        <w:t xml:space="preserve">10-х и 11-х классах предлагается решить 5 задач за </w:t>
      </w:r>
      <w:r w:rsidR="002D0A94">
        <w:rPr>
          <w:rFonts w:ascii="Times New Roman" w:hAnsi="Times New Roman" w:cs="Times New Roman"/>
          <w:sz w:val="28"/>
          <w:szCs w:val="28"/>
        </w:rPr>
        <w:t>230</w:t>
      </w:r>
      <w:r w:rsidRPr="00112902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Для выполнения заданий Олимпиады каждому участнику выдается тетрадь в клетку или специальные бланки (для черновых записей предлагается использовать последние страницы тетради, или обратную сторону бланков).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Участникам Олимпиады запрещено использование для записи решений ручки с красными чернилами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Участники не вправе общаться друг с другом и свободно перемещаться по аудитории во время Олимпиады.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Члены жюри раздают условия участникам и записывают на доске время начала и окончания Олимпиады в данной аудитории.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На муниципальном этапе через 15 минут после начала Олимпиады участники могут задавать вопросы по условиям задач (в письменной форме). Для этого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отвечать «без комментариев». За 30 минут до окончания Олимпиады вопросы по условию задач перестают приниматься.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Дежурный по аудитории напоминает участникам о времени, оставшемся до окончания Олимпиады за полчаса, за 15 минут и за 5 минут.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Участник обязан до истечения отведенного на Олимпиаду времени сдать свою работу (тетради и дополнительные листы).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Участник может сдать работу досрочно, после чего должен незамедлительно покинуть место проведения Олимпиады.</w:t>
      </w:r>
    </w:p>
    <w:p w:rsidR="00112902" w:rsidRDefault="00112902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Порядок проверки и оценивания.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Олимпиады работы участников кодируются, а после окончания проверки декодируются. 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только в чистовике. Черновики не проверяются. 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 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Если задача решена не полностью, то этапы ее решения оцениваются в соответствии с критериями оценок по данной задаче. Предварительные критерии оценивания разрабатываются авторами задач и приведены в методическом пособии. Окончательная система оценивания задач обсуждается и утверждается на заседании жюри по каждой параллели отдельно после предварительной проверки некоторой части работ. Решение каждой задачи оценивается целым числом баллов от 0 до 10. В исключительных случаях допускаются оценки, кратные 0,5 балла</w:t>
      </w:r>
    </w:p>
    <w:p w:rsidR="00701261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 xml:space="preserve"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Член жюри ставит свою подпись под оценкой. 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время. </w:t>
      </w:r>
    </w:p>
    <w:p w:rsidR="00112902" w:rsidRDefault="00112902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02">
        <w:rPr>
          <w:rFonts w:ascii="Times New Roman" w:hAnsi="Times New Roman" w:cs="Times New Roman"/>
          <w:sz w:val="28"/>
          <w:szCs w:val="28"/>
        </w:rPr>
        <w:t>Проверка работ осуществляется Жюри Олимпиады согласно стандартной методике оценива</w:t>
      </w:r>
      <w:r w:rsidR="00701261">
        <w:rPr>
          <w:rFonts w:ascii="Times New Roman" w:hAnsi="Times New Roman" w:cs="Times New Roman"/>
          <w:sz w:val="28"/>
          <w:szCs w:val="28"/>
        </w:rPr>
        <w:t>ния решений по разработанным критериям.</w:t>
      </w:r>
    </w:p>
    <w:p w:rsidR="00701261" w:rsidRPr="00701261" w:rsidRDefault="00701261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>Показ работ участников олимпиады</w:t>
      </w:r>
      <w:r>
        <w:rPr>
          <w:rFonts w:ascii="Times New Roman" w:hAnsi="Times New Roman" w:cs="Times New Roman"/>
          <w:sz w:val="28"/>
          <w:szCs w:val="28"/>
        </w:rPr>
        <w:t xml:space="preserve"> и разбор решений</w:t>
      </w:r>
      <w:r w:rsidRPr="00701261">
        <w:rPr>
          <w:rFonts w:ascii="Times New Roman" w:hAnsi="Times New Roman" w:cs="Times New Roman"/>
          <w:sz w:val="28"/>
          <w:szCs w:val="28"/>
        </w:rPr>
        <w:t>.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Основная цель процедуры </w:t>
      </w:r>
      <w:r>
        <w:rPr>
          <w:rFonts w:ascii="Times New Roman" w:hAnsi="Times New Roman" w:cs="Times New Roman"/>
          <w:sz w:val="28"/>
          <w:szCs w:val="28"/>
        </w:rPr>
        <w:t xml:space="preserve">показа работ и </w:t>
      </w:r>
      <w:r w:rsidRPr="00701261">
        <w:rPr>
          <w:rFonts w:ascii="Times New Roman" w:hAnsi="Times New Roman" w:cs="Times New Roman"/>
          <w:sz w:val="28"/>
          <w:szCs w:val="28"/>
        </w:rPr>
        <w:t xml:space="preserve">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lastRenderedPageBreak/>
        <w:t xml:space="preserve">Разбор решений задач </w:t>
      </w:r>
      <w:r>
        <w:rPr>
          <w:rFonts w:ascii="Times New Roman" w:hAnsi="Times New Roman" w:cs="Times New Roman"/>
          <w:sz w:val="28"/>
          <w:szCs w:val="28"/>
        </w:rPr>
        <w:t>на муниципальном этапе не проводится. Предложенные варианты решений рассылаются учителям физики для ознакомления с ними учащихся.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Каждый участник имеет право ознакомиться с результатами проверки своей работы до подведения официальных итогов Олимпиады.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Порядок проведения показа работ и апелляций по оценке работ участников определяется совместно оргкомитетом и жюри муниципального этапа. Показ работ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апелляций, рекомендуется определять победителей и призеров Олимпиады не ранее чем через день после проведения олимпиады. Окончательное подведение итогов Олимпиады возможно только после показа работ и проведения апелляций.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Дистанционный показ работ проводится только для участников Олимпиады. Участник имеет право задать члену жюри вопросы по оценке приведенного им решения.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Во время очного показа работ участникам Олимпиады запрещается иметь при себе письменные принадлежности.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Не рекомендуется осуществлять показ работ в день проведения Олимпиады.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Не допускается изменение баллов во время показа работ. </w:t>
      </w:r>
    </w:p>
    <w:p w:rsidR="00701261" w:rsidRPr="00701261" w:rsidRDefault="00701261" w:rsidP="00AC37FC">
      <w:pPr>
        <w:pStyle w:val="a3"/>
        <w:numPr>
          <w:ilvl w:val="0"/>
          <w:numId w:val="2"/>
        </w:num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>Порядок проведения апелляций.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Для проведения апелляции оргкомитет Олимпиады создает апелляционную комиссию из членов жюри (не менее трех человек). </w:t>
      </w:r>
    </w:p>
    <w:p w:rsidR="00701261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Критерии и </w:t>
      </w:r>
      <w:r w:rsidRPr="00701261">
        <w:rPr>
          <w:rFonts w:ascii="Times New Roman" w:hAnsi="Times New Roman" w:cs="Times New Roman"/>
          <w:sz w:val="28"/>
          <w:szCs w:val="28"/>
        </w:rPr>
        <w:lastRenderedPageBreak/>
        <w:t xml:space="preserve">методика оценивания олимпиадных заданий не могут быть предметом апелляции и пересмотру не подлежат. 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письменное заявление на имя председателя жюри по установленной </w:t>
      </w:r>
      <w:r w:rsidR="006C5BDD">
        <w:rPr>
          <w:rFonts w:ascii="Times New Roman" w:hAnsi="Times New Roman" w:cs="Times New Roman"/>
          <w:sz w:val="28"/>
          <w:szCs w:val="28"/>
        </w:rPr>
        <w:t>форме</w:t>
      </w:r>
      <w:r w:rsidR="0090665E">
        <w:rPr>
          <w:rFonts w:ascii="Times New Roman" w:hAnsi="Times New Roman" w:cs="Times New Roman"/>
          <w:sz w:val="28"/>
          <w:szCs w:val="28"/>
        </w:rPr>
        <w:t xml:space="preserve">. </w:t>
      </w:r>
      <w:r w:rsidRPr="00701261">
        <w:rPr>
          <w:rFonts w:ascii="Times New Roman" w:hAnsi="Times New Roman" w:cs="Times New Roman"/>
          <w:sz w:val="28"/>
          <w:szCs w:val="28"/>
        </w:rPr>
        <w:t xml:space="preserve">Заявление на апелляцию принимаются после окончания показа работ участников или размещения ответов (решений) на сайте оргкомитета. 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Заявления регистрируются по установленной форме 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>Рассмотрение апелляции проводится с участием самого участника олимпиа</w:t>
      </w:r>
      <w:r w:rsidR="0090665E">
        <w:rPr>
          <w:rFonts w:ascii="Times New Roman" w:hAnsi="Times New Roman" w:cs="Times New Roman"/>
          <w:sz w:val="28"/>
          <w:szCs w:val="28"/>
        </w:rPr>
        <w:t>ды.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90665E" w:rsidRDefault="00701261" w:rsidP="00AC37FC">
      <w:pPr>
        <w:tabs>
          <w:tab w:val="left" w:pos="1276"/>
        </w:tabs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61">
        <w:rPr>
          <w:rFonts w:ascii="Times New Roman" w:hAnsi="Times New Roman" w:cs="Times New Roman"/>
          <w:sz w:val="28"/>
          <w:szCs w:val="28"/>
        </w:rPr>
        <w:t xml:space="preserve">Документами по проведению апелляции являются: </w:t>
      </w:r>
    </w:p>
    <w:p w:rsidR="0090665E" w:rsidRPr="0090665E" w:rsidRDefault="00701261" w:rsidP="00AC37FC">
      <w:pPr>
        <w:pStyle w:val="a3"/>
        <w:numPr>
          <w:ilvl w:val="1"/>
          <w:numId w:val="1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5E">
        <w:rPr>
          <w:rFonts w:ascii="Times New Roman" w:hAnsi="Times New Roman" w:cs="Times New Roman"/>
          <w:sz w:val="28"/>
          <w:szCs w:val="28"/>
        </w:rPr>
        <w:t xml:space="preserve">письменные заявления об апелляциях участников олимпиады; </w:t>
      </w:r>
    </w:p>
    <w:p w:rsidR="00701261" w:rsidRDefault="00701261" w:rsidP="00AC37FC">
      <w:pPr>
        <w:pStyle w:val="a3"/>
        <w:numPr>
          <w:ilvl w:val="1"/>
          <w:numId w:val="1"/>
        </w:num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5E">
        <w:rPr>
          <w:rFonts w:ascii="Times New Roman" w:hAnsi="Times New Roman" w:cs="Times New Roman"/>
          <w:sz w:val="28"/>
          <w:szCs w:val="28"/>
        </w:rPr>
        <w:t>журнал (листы) регистрации апелляций.</w:t>
      </w:r>
    </w:p>
    <w:p w:rsidR="0090665E" w:rsidRPr="0090665E" w:rsidRDefault="0090665E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5E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Pr="0090665E">
        <w:rPr>
          <w:rFonts w:ascii="Times New Roman" w:hAnsi="Times New Roman" w:cs="Times New Roman"/>
          <w:sz w:val="28"/>
          <w:szCs w:val="28"/>
        </w:rPr>
        <w:t>Порядок подведения итогов олимпиады.</w:t>
      </w:r>
    </w:p>
    <w:p w:rsidR="002F30F6" w:rsidRDefault="002F30F6" w:rsidP="00AC37FC">
      <w:pPr>
        <w:spacing w:after="0" w:line="36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 с учетом апелляций. </w:t>
      </w:r>
    </w:p>
    <w:p w:rsidR="002F30F6" w:rsidRDefault="002F30F6" w:rsidP="00AC37FC">
      <w:pPr>
        <w:spacing w:after="0" w:line="36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lastRenderedPageBreak/>
        <w:t>Победители и призеры Олимпиады определяются на основании рейтинга и в соответствии с квотой, установленной организатором муниципального этапа. Победителем и призером Олимпиады признается участник, набравший число баллов, установленное организатором муниципального этапа. Окончательные результаты участников фиксируются в итоговой таблице, представляющей собой рейтинговый список участников, расположенных по мер</w:t>
      </w:r>
      <w:r>
        <w:rPr>
          <w:rFonts w:ascii="Times New Roman" w:hAnsi="Times New Roman" w:cs="Times New Roman"/>
          <w:sz w:val="28"/>
          <w:szCs w:val="28"/>
        </w:rPr>
        <w:t>е убывания набранных ими баллов.</w:t>
      </w:r>
    </w:p>
    <w:p w:rsidR="002F30F6" w:rsidRDefault="002F30F6" w:rsidP="00AC37FC">
      <w:pPr>
        <w:spacing w:after="0" w:line="36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t xml:space="preserve">Участники с одинаковыми баллами располагаются в алфавитном порядке. </w:t>
      </w:r>
    </w:p>
    <w:p w:rsidR="002F30F6" w:rsidRDefault="002F30F6" w:rsidP="00AC37FC">
      <w:pPr>
        <w:spacing w:after="0" w:line="36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t xml:space="preserve"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 </w:t>
      </w:r>
    </w:p>
    <w:p w:rsidR="002F30F6" w:rsidRDefault="002F30F6" w:rsidP="00AC37FC">
      <w:pPr>
        <w:spacing w:after="0" w:line="360" w:lineRule="auto"/>
        <w:ind w:left="-567" w:right="-284" w:firstLine="709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t xml:space="preserve"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</w:t>
      </w:r>
    </w:p>
    <w:p w:rsidR="0090665E" w:rsidRDefault="002F30F6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0F6">
        <w:rPr>
          <w:rFonts w:ascii="Times New Roman" w:hAnsi="Times New Roman" w:cs="Times New Roman"/>
          <w:sz w:val="28"/>
          <w:szCs w:val="28"/>
        </w:rPr>
        <w:t xml:space="preserve">Официальным объявлением итогов Олимпиады считается </w:t>
      </w:r>
      <w:r w:rsidR="00AC37FC" w:rsidRPr="002F30F6">
        <w:rPr>
          <w:rFonts w:ascii="Times New Roman" w:hAnsi="Times New Roman" w:cs="Times New Roman"/>
          <w:sz w:val="28"/>
          <w:szCs w:val="28"/>
        </w:rPr>
        <w:t>итоговая таблица</w:t>
      </w:r>
      <w:r w:rsidR="00AC37FC">
        <w:rPr>
          <w:rFonts w:ascii="Times New Roman" w:hAnsi="Times New Roman" w:cs="Times New Roman"/>
          <w:sz w:val="28"/>
          <w:szCs w:val="28"/>
        </w:rPr>
        <w:t>,</w:t>
      </w:r>
      <w:r w:rsidR="00AC37FC" w:rsidRPr="002F30F6">
        <w:rPr>
          <w:rFonts w:ascii="Times New Roman" w:hAnsi="Times New Roman" w:cs="Times New Roman"/>
          <w:sz w:val="28"/>
          <w:szCs w:val="28"/>
        </w:rPr>
        <w:t xml:space="preserve"> </w:t>
      </w:r>
      <w:r w:rsidRPr="002F30F6">
        <w:rPr>
          <w:rFonts w:ascii="Times New Roman" w:hAnsi="Times New Roman" w:cs="Times New Roman"/>
          <w:sz w:val="28"/>
          <w:szCs w:val="28"/>
        </w:rPr>
        <w:t>заверенная подписями председателя и членов жюр</w:t>
      </w:r>
      <w:r w:rsidR="00AC37FC">
        <w:rPr>
          <w:rFonts w:ascii="Times New Roman" w:hAnsi="Times New Roman" w:cs="Times New Roman"/>
          <w:sz w:val="28"/>
          <w:szCs w:val="28"/>
        </w:rPr>
        <w:t>и</w:t>
      </w:r>
      <w:r w:rsidR="006C5BDD">
        <w:rPr>
          <w:rFonts w:ascii="Times New Roman" w:hAnsi="Times New Roman" w:cs="Times New Roman"/>
          <w:sz w:val="28"/>
          <w:szCs w:val="28"/>
        </w:rPr>
        <w:t>, размещенная в сети Интернет</w:t>
      </w:r>
      <w:r w:rsidRPr="002F30F6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6C5BDD">
        <w:rPr>
          <w:rFonts w:ascii="Times New Roman" w:hAnsi="Times New Roman" w:cs="Times New Roman"/>
          <w:sz w:val="28"/>
          <w:szCs w:val="28"/>
        </w:rPr>
        <w:t>органа местного самоуправления, осуществляющего управление в сфере образования</w:t>
      </w:r>
      <w:r w:rsidRPr="002F30F6">
        <w:rPr>
          <w:rFonts w:ascii="Times New Roman" w:hAnsi="Times New Roman" w:cs="Times New Roman"/>
          <w:sz w:val="28"/>
          <w:szCs w:val="28"/>
        </w:rPr>
        <w:t>.</w:t>
      </w:r>
    </w:p>
    <w:p w:rsidR="006C5BDD" w:rsidRPr="0090665E" w:rsidRDefault="006C5BDD" w:rsidP="00AC37FC">
      <w:pPr>
        <w:spacing w:after="0" w:line="36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5BDD" w:rsidRPr="00906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B48"/>
    <w:multiLevelType w:val="hybridMultilevel"/>
    <w:tmpl w:val="593815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B47B6"/>
    <w:multiLevelType w:val="hybridMultilevel"/>
    <w:tmpl w:val="52D07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F888B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42810"/>
    <w:multiLevelType w:val="hybridMultilevel"/>
    <w:tmpl w:val="64DEF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75029"/>
    <w:multiLevelType w:val="hybridMultilevel"/>
    <w:tmpl w:val="09EAB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8E11576"/>
    <w:multiLevelType w:val="hybridMultilevel"/>
    <w:tmpl w:val="A10838C8"/>
    <w:lvl w:ilvl="0" w:tplc="3FA6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3E5DE1"/>
    <w:multiLevelType w:val="hybridMultilevel"/>
    <w:tmpl w:val="B25012C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DE"/>
    <w:rsid w:val="000A4ADE"/>
    <w:rsid w:val="000D4B96"/>
    <w:rsid w:val="00112902"/>
    <w:rsid w:val="002D0A94"/>
    <w:rsid w:val="002F30F6"/>
    <w:rsid w:val="00691C80"/>
    <w:rsid w:val="006C5BDD"/>
    <w:rsid w:val="006D487B"/>
    <w:rsid w:val="00701261"/>
    <w:rsid w:val="0090665E"/>
    <w:rsid w:val="009B3D34"/>
    <w:rsid w:val="00AC37FC"/>
    <w:rsid w:val="00AD5922"/>
    <w:rsid w:val="00B97F5E"/>
    <w:rsid w:val="00E7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D7FC2-9007-48C8-AFBA-4B41897E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F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5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физики</dc:creator>
  <cp:lastModifiedBy>Скутилина Наталья Викторовна</cp:lastModifiedBy>
  <cp:revision>10</cp:revision>
  <dcterms:created xsi:type="dcterms:W3CDTF">2023-10-10T06:23:00Z</dcterms:created>
  <dcterms:modified xsi:type="dcterms:W3CDTF">2024-09-09T09:36:00Z</dcterms:modified>
</cp:coreProperties>
</file>